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7C7DA4" w14:textId="77777777" w:rsidR="00926695" w:rsidRDefault="00926695">
      <w:pPr>
        <w:adjustRightInd w:val="0"/>
        <w:snapToGrid w:val="0"/>
        <w:spacing w:line="360" w:lineRule="auto"/>
        <w:jc w:val="center"/>
        <w:rPr>
          <w:rFonts w:ascii="宋体" w:hAnsi="宋体"/>
          <w:bCs/>
          <w:sz w:val="28"/>
          <w:szCs w:val="28"/>
        </w:rPr>
      </w:pPr>
    </w:p>
    <w:p w14:paraId="62ECB85E" w14:textId="77777777" w:rsidR="00926695" w:rsidRDefault="00926695">
      <w:pPr>
        <w:adjustRightInd w:val="0"/>
        <w:snapToGrid w:val="0"/>
        <w:spacing w:line="360" w:lineRule="auto"/>
        <w:jc w:val="center"/>
        <w:rPr>
          <w:rFonts w:ascii="宋体" w:hAnsi="宋体"/>
          <w:b/>
          <w:sz w:val="28"/>
          <w:szCs w:val="28"/>
        </w:rPr>
      </w:pPr>
    </w:p>
    <w:p w14:paraId="2E69EC67" w14:textId="77777777" w:rsidR="00926695" w:rsidRDefault="00926695">
      <w:pPr>
        <w:adjustRightInd w:val="0"/>
        <w:snapToGrid w:val="0"/>
        <w:spacing w:line="360" w:lineRule="auto"/>
        <w:jc w:val="center"/>
        <w:rPr>
          <w:rFonts w:ascii="宋体" w:hAnsi="宋体"/>
          <w:b/>
          <w:sz w:val="28"/>
          <w:szCs w:val="28"/>
        </w:rPr>
      </w:pPr>
    </w:p>
    <w:p w14:paraId="309F07BB" w14:textId="70D899F8" w:rsidR="00926695" w:rsidRDefault="00D830DA">
      <w:pPr>
        <w:adjustRightInd w:val="0"/>
        <w:snapToGrid w:val="0"/>
        <w:spacing w:line="360" w:lineRule="auto"/>
        <w:jc w:val="center"/>
        <w:rPr>
          <w:b/>
          <w:sz w:val="48"/>
        </w:rPr>
      </w:pPr>
      <w:bookmarkStart w:id="0" w:name="_Toc123701382"/>
      <w:bookmarkStart w:id="1" w:name="_Toc123112262"/>
      <w:bookmarkStart w:id="2" w:name="_Toc139991725"/>
      <w:bookmarkStart w:id="3" w:name="_Toc123112223"/>
      <w:bookmarkStart w:id="4" w:name="_Toc139992300"/>
      <w:r>
        <w:rPr>
          <w:rFonts w:hint="eastAsia"/>
          <w:b/>
          <w:color w:val="000000"/>
          <w:sz w:val="48"/>
        </w:rPr>
        <w:t>银华中证有色金属交易型开放式指数证券投资基金联接</w:t>
      </w:r>
      <w:proofErr w:type="gramStart"/>
      <w:r>
        <w:rPr>
          <w:rFonts w:hint="eastAsia"/>
          <w:b/>
          <w:color w:val="000000"/>
          <w:sz w:val="48"/>
        </w:rPr>
        <w:t>基金</w:t>
      </w:r>
      <w:r>
        <w:rPr>
          <w:b/>
          <w:sz w:val="48"/>
        </w:rPr>
        <w:t>基金</w:t>
      </w:r>
      <w:proofErr w:type="gramEnd"/>
      <w:r>
        <w:rPr>
          <w:b/>
          <w:sz w:val="48"/>
        </w:rPr>
        <w:t>合同</w:t>
      </w:r>
      <w:bookmarkEnd w:id="0"/>
      <w:bookmarkEnd w:id="1"/>
      <w:bookmarkEnd w:id="2"/>
      <w:bookmarkEnd w:id="3"/>
      <w:bookmarkEnd w:id="4"/>
    </w:p>
    <w:p w14:paraId="5FF86261" w14:textId="77777777" w:rsidR="00926695" w:rsidRDefault="00926695">
      <w:pPr>
        <w:adjustRightInd w:val="0"/>
        <w:snapToGrid w:val="0"/>
        <w:spacing w:line="360" w:lineRule="auto"/>
        <w:jc w:val="center"/>
        <w:rPr>
          <w:b/>
          <w:sz w:val="48"/>
        </w:rPr>
      </w:pPr>
    </w:p>
    <w:p w14:paraId="56E30E16" w14:textId="77777777" w:rsidR="00926695" w:rsidRDefault="00926695">
      <w:pPr>
        <w:adjustRightInd w:val="0"/>
        <w:snapToGrid w:val="0"/>
        <w:spacing w:line="360" w:lineRule="auto"/>
        <w:jc w:val="center"/>
        <w:rPr>
          <w:rFonts w:ascii="宋体" w:hAnsi="宋体"/>
          <w:b/>
          <w:sz w:val="28"/>
          <w:szCs w:val="28"/>
        </w:rPr>
      </w:pPr>
    </w:p>
    <w:p w14:paraId="5FA03C94" w14:textId="77777777" w:rsidR="00926695" w:rsidRDefault="00926695">
      <w:pPr>
        <w:adjustRightInd w:val="0"/>
        <w:snapToGrid w:val="0"/>
        <w:spacing w:line="360" w:lineRule="auto"/>
        <w:jc w:val="center"/>
        <w:rPr>
          <w:rFonts w:ascii="宋体" w:hAnsi="宋体"/>
          <w:b/>
          <w:sz w:val="28"/>
          <w:szCs w:val="28"/>
        </w:rPr>
      </w:pPr>
    </w:p>
    <w:p w14:paraId="2140EAC2" w14:textId="77777777" w:rsidR="00926695" w:rsidRDefault="00926695">
      <w:pPr>
        <w:adjustRightInd w:val="0"/>
        <w:snapToGrid w:val="0"/>
        <w:spacing w:line="360" w:lineRule="auto"/>
        <w:jc w:val="center"/>
        <w:rPr>
          <w:rFonts w:ascii="宋体" w:hAnsi="宋体"/>
          <w:b/>
          <w:sz w:val="28"/>
          <w:szCs w:val="28"/>
        </w:rPr>
      </w:pPr>
    </w:p>
    <w:p w14:paraId="527AEB05" w14:textId="77777777" w:rsidR="00926695" w:rsidRDefault="00926695">
      <w:pPr>
        <w:adjustRightInd w:val="0"/>
        <w:snapToGrid w:val="0"/>
        <w:spacing w:line="360" w:lineRule="auto"/>
        <w:jc w:val="center"/>
        <w:rPr>
          <w:rFonts w:ascii="宋体" w:hAnsi="宋体"/>
          <w:b/>
          <w:sz w:val="28"/>
          <w:szCs w:val="28"/>
        </w:rPr>
      </w:pPr>
    </w:p>
    <w:p w14:paraId="5096F0CA" w14:textId="77777777" w:rsidR="00926695" w:rsidRDefault="00926695">
      <w:pPr>
        <w:adjustRightInd w:val="0"/>
        <w:snapToGrid w:val="0"/>
        <w:spacing w:line="360" w:lineRule="auto"/>
        <w:jc w:val="center"/>
        <w:rPr>
          <w:rFonts w:ascii="宋体" w:hAnsi="宋体"/>
          <w:b/>
          <w:sz w:val="28"/>
          <w:szCs w:val="28"/>
        </w:rPr>
      </w:pPr>
    </w:p>
    <w:p w14:paraId="49A04448" w14:textId="77777777" w:rsidR="00926695" w:rsidRDefault="00926695">
      <w:pPr>
        <w:adjustRightInd w:val="0"/>
        <w:snapToGrid w:val="0"/>
        <w:spacing w:line="360" w:lineRule="auto"/>
        <w:jc w:val="center"/>
        <w:rPr>
          <w:rFonts w:ascii="宋体" w:hAnsi="宋体"/>
          <w:b/>
          <w:sz w:val="28"/>
          <w:szCs w:val="28"/>
        </w:rPr>
      </w:pPr>
    </w:p>
    <w:p w14:paraId="24686243" w14:textId="77777777" w:rsidR="00926695" w:rsidRDefault="00926695">
      <w:pPr>
        <w:adjustRightInd w:val="0"/>
        <w:snapToGrid w:val="0"/>
        <w:spacing w:line="360" w:lineRule="auto"/>
        <w:jc w:val="center"/>
        <w:rPr>
          <w:rFonts w:ascii="宋体" w:hAnsi="宋体"/>
          <w:b/>
          <w:sz w:val="28"/>
          <w:szCs w:val="28"/>
        </w:rPr>
      </w:pPr>
    </w:p>
    <w:p w14:paraId="538E7197" w14:textId="77777777" w:rsidR="00926695" w:rsidRDefault="00926695">
      <w:pPr>
        <w:adjustRightInd w:val="0"/>
        <w:snapToGrid w:val="0"/>
        <w:spacing w:line="360" w:lineRule="auto"/>
        <w:jc w:val="center"/>
        <w:rPr>
          <w:rFonts w:ascii="宋体" w:hAnsi="宋体"/>
          <w:b/>
          <w:sz w:val="28"/>
          <w:szCs w:val="28"/>
        </w:rPr>
      </w:pPr>
    </w:p>
    <w:p w14:paraId="1AA8921D" w14:textId="77777777" w:rsidR="00926695" w:rsidRDefault="00926695">
      <w:pPr>
        <w:adjustRightInd w:val="0"/>
        <w:snapToGrid w:val="0"/>
        <w:spacing w:line="360" w:lineRule="auto"/>
        <w:jc w:val="center"/>
        <w:rPr>
          <w:rFonts w:ascii="宋体" w:hAnsi="宋体"/>
          <w:b/>
          <w:sz w:val="28"/>
          <w:szCs w:val="28"/>
        </w:rPr>
      </w:pPr>
    </w:p>
    <w:p w14:paraId="4FFA175C" w14:textId="77777777" w:rsidR="00926695" w:rsidRDefault="00D830DA">
      <w:pPr>
        <w:adjustRightInd w:val="0"/>
        <w:snapToGrid w:val="0"/>
        <w:spacing w:line="360" w:lineRule="auto"/>
        <w:jc w:val="center"/>
        <w:rPr>
          <w:b/>
          <w:sz w:val="36"/>
        </w:rPr>
      </w:pPr>
      <w:bookmarkStart w:id="5" w:name="_Toc139991726"/>
      <w:bookmarkStart w:id="6" w:name="_Toc123701383"/>
      <w:bookmarkStart w:id="7" w:name="_Toc139992301"/>
      <w:bookmarkStart w:id="8" w:name="_Toc123112224"/>
      <w:bookmarkStart w:id="9" w:name="_Toc123112263"/>
      <w:r>
        <w:rPr>
          <w:b/>
          <w:sz w:val="36"/>
        </w:rPr>
        <w:t>基金管理人：</w:t>
      </w:r>
      <w:bookmarkEnd w:id="5"/>
      <w:bookmarkEnd w:id="6"/>
      <w:bookmarkEnd w:id="7"/>
      <w:bookmarkEnd w:id="8"/>
      <w:bookmarkEnd w:id="9"/>
      <w:r>
        <w:rPr>
          <w:rFonts w:hint="eastAsia"/>
          <w:b/>
          <w:sz w:val="36"/>
        </w:rPr>
        <w:t>银华基金管理股份有限公司</w:t>
      </w:r>
    </w:p>
    <w:p w14:paraId="485F006F" w14:textId="77777777" w:rsidR="00926695" w:rsidRDefault="00D830DA">
      <w:pPr>
        <w:adjustRightInd w:val="0"/>
        <w:snapToGrid w:val="0"/>
        <w:spacing w:line="360" w:lineRule="auto"/>
        <w:jc w:val="center"/>
        <w:rPr>
          <w:b/>
          <w:sz w:val="36"/>
        </w:rPr>
      </w:pPr>
      <w:bookmarkStart w:id="10" w:name="_Toc123112264"/>
      <w:bookmarkStart w:id="11" w:name="_Toc123112225"/>
      <w:bookmarkStart w:id="12" w:name="_Toc123701384"/>
      <w:bookmarkStart w:id="13" w:name="_Toc139991727"/>
      <w:bookmarkStart w:id="14" w:name="_Toc139992302"/>
      <w:r>
        <w:rPr>
          <w:b/>
          <w:sz w:val="36"/>
        </w:rPr>
        <w:t>基金托管人：</w:t>
      </w:r>
      <w:bookmarkEnd w:id="10"/>
      <w:bookmarkEnd w:id="11"/>
      <w:bookmarkEnd w:id="12"/>
      <w:bookmarkEnd w:id="13"/>
      <w:bookmarkEnd w:id="14"/>
      <w:r>
        <w:rPr>
          <w:rFonts w:hint="eastAsia"/>
          <w:b/>
          <w:sz w:val="36"/>
        </w:rPr>
        <w:t>中国建设银行股份有限公司</w:t>
      </w:r>
    </w:p>
    <w:p w14:paraId="7FA07E42" w14:textId="77777777" w:rsidR="00926695" w:rsidRDefault="00926695">
      <w:pPr>
        <w:adjustRightInd w:val="0"/>
        <w:snapToGrid w:val="0"/>
        <w:spacing w:line="360" w:lineRule="auto"/>
        <w:jc w:val="center"/>
        <w:rPr>
          <w:rFonts w:ascii="宋体" w:hAnsi="宋体"/>
          <w:bCs/>
          <w:sz w:val="28"/>
        </w:rPr>
      </w:pPr>
      <w:bookmarkStart w:id="15" w:name="_Toc139991729"/>
      <w:bookmarkStart w:id="16" w:name="_Toc123112266"/>
      <w:bookmarkStart w:id="17" w:name="_Toc123701386"/>
      <w:bookmarkStart w:id="18" w:name="_Toc123112227"/>
    </w:p>
    <w:p w14:paraId="4B18A54F" w14:textId="77777777" w:rsidR="00926695" w:rsidRDefault="00926695">
      <w:pPr>
        <w:adjustRightInd w:val="0"/>
        <w:snapToGrid w:val="0"/>
        <w:spacing w:line="360" w:lineRule="auto"/>
        <w:jc w:val="center"/>
        <w:rPr>
          <w:rFonts w:ascii="宋体" w:hAnsi="宋体"/>
          <w:bCs/>
          <w:sz w:val="28"/>
        </w:rPr>
      </w:pPr>
    </w:p>
    <w:p w14:paraId="2ECADAC4" w14:textId="77777777" w:rsidR="00926695" w:rsidRDefault="00926695">
      <w:pPr>
        <w:adjustRightInd w:val="0"/>
        <w:snapToGrid w:val="0"/>
        <w:spacing w:line="360" w:lineRule="auto"/>
        <w:jc w:val="center"/>
        <w:rPr>
          <w:bCs/>
          <w:sz w:val="28"/>
        </w:rPr>
        <w:sectPr w:rsidR="00926695">
          <w:headerReference w:type="default" r:id="rId8"/>
          <w:footerReference w:type="default" r:id="rId9"/>
          <w:footerReference w:type="first" r:id="rId10"/>
          <w:pgSz w:w="11906" w:h="16838"/>
          <w:pgMar w:top="1440" w:right="1800" w:bottom="1440" w:left="1800" w:header="851" w:footer="992" w:gutter="0"/>
          <w:pgNumType w:start="1"/>
          <w:cols w:space="720"/>
          <w:titlePg/>
          <w:docGrid w:type="lines" w:linePitch="312"/>
        </w:sectPr>
      </w:pPr>
    </w:p>
    <w:p w14:paraId="37374CD9" w14:textId="77777777" w:rsidR="00926695" w:rsidRDefault="00926695">
      <w:pPr>
        <w:spacing w:line="360" w:lineRule="auto"/>
        <w:jc w:val="center"/>
        <w:rPr>
          <w:b/>
          <w:bCs/>
          <w:sz w:val="28"/>
        </w:rPr>
      </w:pPr>
    </w:p>
    <w:p w14:paraId="5F8BEAC9" w14:textId="77777777" w:rsidR="00926695" w:rsidRDefault="00D830DA">
      <w:pPr>
        <w:spacing w:line="360" w:lineRule="auto"/>
        <w:jc w:val="center"/>
        <w:rPr>
          <w:b/>
          <w:bCs/>
          <w:sz w:val="28"/>
        </w:rPr>
      </w:pPr>
      <w:r>
        <w:rPr>
          <w:b/>
          <w:bCs/>
          <w:sz w:val="28"/>
        </w:rPr>
        <w:t>目录</w:t>
      </w:r>
      <w:bookmarkEnd w:id="15"/>
      <w:bookmarkEnd w:id="16"/>
      <w:bookmarkEnd w:id="17"/>
      <w:bookmarkEnd w:id="18"/>
    </w:p>
    <w:p w14:paraId="005115FA" w14:textId="76B53E02" w:rsidR="00926695" w:rsidRDefault="00D830DA">
      <w:pPr>
        <w:pStyle w:val="10"/>
        <w:rPr>
          <w:rFonts w:ascii="Calibri" w:hAnsi="Calibri"/>
          <w:noProof/>
          <w:szCs w:val="22"/>
        </w:rPr>
      </w:pPr>
      <w:r>
        <w:rPr>
          <w:bCs/>
          <w:sz w:val="24"/>
        </w:rPr>
        <w:fldChar w:fldCharType="begin"/>
      </w:r>
      <w:r>
        <w:rPr>
          <w:bCs/>
          <w:sz w:val="24"/>
        </w:rPr>
        <w:instrText xml:space="preserve"> TOC \o "1-1" \h \z \u </w:instrText>
      </w:r>
      <w:r>
        <w:rPr>
          <w:bCs/>
          <w:sz w:val="24"/>
        </w:rPr>
        <w:fldChar w:fldCharType="separate"/>
      </w:r>
      <w:hyperlink w:anchor="_Toc89430556" w:history="1">
        <w:r>
          <w:rPr>
            <w:rStyle w:val="af7"/>
            <w:rFonts w:hint="eastAsia"/>
            <w:noProof/>
          </w:rPr>
          <w:t>第一部分</w:t>
        </w:r>
        <w:r>
          <w:rPr>
            <w:rStyle w:val="af7"/>
            <w:noProof/>
          </w:rPr>
          <w:t xml:space="preserve">  </w:t>
        </w:r>
        <w:r>
          <w:rPr>
            <w:rStyle w:val="af7"/>
            <w:rFonts w:hint="eastAsia"/>
            <w:noProof/>
          </w:rPr>
          <w:t>前言</w:t>
        </w:r>
        <w:r>
          <w:rPr>
            <w:noProof/>
          </w:rPr>
          <w:tab/>
        </w:r>
        <w:r>
          <w:rPr>
            <w:noProof/>
          </w:rPr>
          <w:fldChar w:fldCharType="begin"/>
        </w:r>
        <w:r>
          <w:rPr>
            <w:noProof/>
          </w:rPr>
          <w:instrText xml:space="preserve"> PAGEREF _Toc89430556 \h </w:instrText>
        </w:r>
        <w:r>
          <w:rPr>
            <w:noProof/>
          </w:rPr>
        </w:r>
        <w:r>
          <w:rPr>
            <w:noProof/>
          </w:rPr>
          <w:fldChar w:fldCharType="separate"/>
        </w:r>
        <w:r w:rsidR="00DE33DA">
          <w:rPr>
            <w:noProof/>
          </w:rPr>
          <w:t>1</w:t>
        </w:r>
        <w:r>
          <w:rPr>
            <w:noProof/>
          </w:rPr>
          <w:fldChar w:fldCharType="end"/>
        </w:r>
      </w:hyperlink>
    </w:p>
    <w:p w14:paraId="41C4CEE5" w14:textId="320C94F5" w:rsidR="00926695" w:rsidRDefault="00AA3F99">
      <w:pPr>
        <w:pStyle w:val="10"/>
        <w:rPr>
          <w:rFonts w:ascii="Calibri" w:hAnsi="Calibri"/>
          <w:noProof/>
          <w:szCs w:val="22"/>
        </w:rPr>
      </w:pPr>
      <w:hyperlink w:anchor="_Toc89430557" w:history="1">
        <w:r w:rsidR="00D830DA">
          <w:rPr>
            <w:rStyle w:val="af7"/>
            <w:rFonts w:hint="eastAsia"/>
            <w:noProof/>
          </w:rPr>
          <w:t>第二部分</w:t>
        </w:r>
        <w:r w:rsidR="00D830DA">
          <w:rPr>
            <w:rStyle w:val="af7"/>
            <w:noProof/>
          </w:rPr>
          <w:t xml:space="preserve">  </w:t>
        </w:r>
        <w:r w:rsidR="00D830DA">
          <w:rPr>
            <w:rStyle w:val="af7"/>
            <w:rFonts w:hint="eastAsia"/>
            <w:noProof/>
          </w:rPr>
          <w:t>释义</w:t>
        </w:r>
        <w:r w:rsidR="00D830DA">
          <w:rPr>
            <w:noProof/>
          </w:rPr>
          <w:tab/>
        </w:r>
        <w:r w:rsidR="00D830DA">
          <w:rPr>
            <w:noProof/>
          </w:rPr>
          <w:fldChar w:fldCharType="begin"/>
        </w:r>
        <w:r w:rsidR="00D830DA">
          <w:rPr>
            <w:noProof/>
          </w:rPr>
          <w:instrText xml:space="preserve"> PAGEREF _Toc89430557 \h </w:instrText>
        </w:r>
        <w:r w:rsidR="00D830DA">
          <w:rPr>
            <w:noProof/>
          </w:rPr>
        </w:r>
        <w:r w:rsidR="00D830DA">
          <w:rPr>
            <w:noProof/>
          </w:rPr>
          <w:fldChar w:fldCharType="separate"/>
        </w:r>
        <w:r w:rsidR="00DE33DA">
          <w:rPr>
            <w:noProof/>
          </w:rPr>
          <w:t>4</w:t>
        </w:r>
        <w:r w:rsidR="00D830DA">
          <w:rPr>
            <w:noProof/>
          </w:rPr>
          <w:fldChar w:fldCharType="end"/>
        </w:r>
      </w:hyperlink>
    </w:p>
    <w:p w14:paraId="3641EE13" w14:textId="55B056CD" w:rsidR="00926695" w:rsidRDefault="00AA3F99">
      <w:pPr>
        <w:pStyle w:val="10"/>
        <w:rPr>
          <w:rFonts w:ascii="Calibri" w:hAnsi="Calibri"/>
          <w:noProof/>
          <w:szCs w:val="22"/>
        </w:rPr>
      </w:pPr>
      <w:hyperlink w:anchor="_Toc89430558" w:history="1">
        <w:r w:rsidR="00D830DA">
          <w:rPr>
            <w:rStyle w:val="af7"/>
            <w:rFonts w:hint="eastAsia"/>
            <w:noProof/>
          </w:rPr>
          <w:t>第三部分</w:t>
        </w:r>
        <w:r w:rsidR="00D830DA">
          <w:rPr>
            <w:rStyle w:val="af7"/>
            <w:noProof/>
          </w:rPr>
          <w:t xml:space="preserve">  </w:t>
        </w:r>
        <w:r w:rsidR="00D830DA">
          <w:rPr>
            <w:rStyle w:val="af7"/>
            <w:rFonts w:hint="eastAsia"/>
            <w:noProof/>
          </w:rPr>
          <w:t>基金的基本情况</w:t>
        </w:r>
        <w:r w:rsidR="00D830DA">
          <w:rPr>
            <w:noProof/>
          </w:rPr>
          <w:tab/>
        </w:r>
        <w:r w:rsidR="00D830DA">
          <w:rPr>
            <w:noProof/>
          </w:rPr>
          <w:fldChar w:fldCharType="begin"/>
        </w:r>
        <w:r w:rsidR="00D830DA">
          <w:rPr>
            <w:noProof/>
          </w:rPr>
          <w:instrText xml:space="preserve"> PAGEREF _Toc89430558 \h </w:instrText>
        </w:r>
        <w:r w:rsidR="00D830DA">
          <w:rPr>
            <w:noProof/>
          </w:rPr>
        </w:r>
        <w:r w:rsidR="00D830DA">
          <w:rPr>
            <w:noProof/>
          </w:rPr>
          <w:fldChar w:fldCharType="separate"/>
        </w:r>
        <w:r w:rsidR="00DE33DA">
          <w:rPr>
            <w:noProof/>
          </w:rPr>
          <w:t>10</w:t>
        </w:r>
        <w:r w:rsidR="00D830DA">
          <w:rPr>
            <w:noProof/>
          </w:rPr>
          <w:fldChar w:fldCharType="end"/>
        </w:r>
      </w:hyperlink>
    </w:p>
    <w:p w14:paraId="1A5730B0" w14:textId="1142AD7B" w:rsidR="00926695" w:rsidRDefault="00AA3F99">
      <w:pPr>
        <w:pStyle w:val="10"/>
        <w:rPr>
          <w:rFonts w:ascii="Calibri" w:hAnsi="Calibri"/>
          <w:noProof/>
          <w:szCs w:val="22"/>
        </w:rPr>
      </w:pPr>
      <w:hyperlink w:anchor="_Toc89430559" w:history="1">
        <w:r w:rsidR="00D830DA">
          <w:rPr>
            <w:rStyle w:val="af7"/>
            <w:rFonts w:hint="eastAsia"/>
            <w:noProof/>
          </w:rPr>
          <w:t>第四部分</w:t>
        </w:r>
        <w:r w:rsidR="00D830DA">
          <w:rPr>
            <w:rStyle w:val="af7"/>
            <w:noProof/>
          </w:rPr>
          <w:t xml:space="preserve">  </w:t>
        </w:r>
        <w:r w:rsidR="00D830DA">
          <w:rPr>
            <w:rStyle w:val="af7"/>
            <w:rFonts w:hint="eastAsia"/>
            <w:noProof/>
          </w:rPr>
          <w:t>基金份额的发售</w:t>
        </w:r>
        <w:r w:rsidR="00D830DA">
          <w:rPr>
            <w:noProof/>
          </w:rPr>
          <w:tab/>
        </w:r>
        <w:r w:rsidR="00D830DA">
          <w:rPr>
            <w:noProof/>
          </w:rPr>
          <w:fldChar w:fldCharType="begin"/>
        </w:r>
        <w:r w:rsidR="00D830DA">
          <w:rPr>
            <w:noProof/>
          </w:rPr>
          <w:instrText xml:space="preserve"> PAGEREF _Toc89430559 \h </w:instrText>
        </w:r>
        <w:r w:rsidR="00D830DA">
          <w:rPr>
            <w:noProof/>
          </w:rPr>
        </w:r>
        <w:r w:rsidR="00D830DA">
          <w:rPr>
            <w:noProof/>
          </w:rPr>
          <w:fldChar w:fldCharType="separate"/>
        </w:r>
        <w:r w:rsidR="00DE33DA">
          <w:rPr>
            <w:noProof/>
          </w:rPr>
          <w:t>13</w:t>
        </w:r>
        <w:r w:rsidR="00D830DA">
          <w:rPr>
            <w:noProof/>
          </w:rPr>
          <w:fldChar w:fldCharType="end"/>
        </w:r>
      </w:hyperlink>
    </w:p>
    <w:p w14:paraId="1DF384FD" w14:textId="6FDA160B" w:rsidR="00926695" w:rsidRDefault="00AA3F99">
      <w:pPr>
        <w:pStyle w:val="10"/>
        <w:rPr>
          <w:rFonts w:ascii="Calibri" w:hAnsi="Calibri"/>
          <w:noProof/>
          <w:szCs w:val="22"/>
        </w:rPr>
      </w:pPr>
      <w:hyperlink w:anchor="_Toc89430560" w:history="1">
        <w:r w:rsidR="00D830DA">
          <w:rPr>
            <w:rStyle w:val="af7"/>
            <w:rFonts w:hint="eastAsia"/>
            <w:noProof/>
          </w:rPr>
          <w:t>第五部分</w:t>
        </w:r>
        <w:r w:rsidR="00D830DA">
          <w:rPr>
            <w:rStyle w:val="af7"/>
            <w:noProof/>
          </w:rPr>
          <w:t xml:space="preserve">  </w:t>
        </w:r>
        <w:r w:rsidR="00D830DA">
          <w:rPr>
            <w:rStyle w:val="af7"/>
            <w:rFonts w:hint="eastAsia"/>
            <w:noProof/>
          </w:rPr>
          <w:t>基金备案</w:t>
        </w:r>
        <w:r w:rsidR="00D830DA">
          <w:rPr>
            <w:noProof/>
          </w:rPr>
          <w:tab/>
        </w:r>
        <w:r w:rsidR="00D830DA">
          <w:rPr>
            <w:noProof/>
          </w:rPr>
          <w:fldChar w:fldCharType="begin"/>
        </w:r>
        <w:r w:rsidR="00D830DA">
          <w:rPr>
            <w:noProof/>
          </w:rPr>
          <w:instrText xml:space="preserve"> PAGEREF _Toc89430560 \h </w:instrText>
        </w:r>
        <w:r w:rsidR="00D830DA">
          <w:rPr>
            <w:noProof/>
          </w:rPr>
        </w:r>
        <w:r w:rsidR="00D830DA">
          <w:rPr>
            <w:noProof/>
          </w:rPr>
          <w:fldChar w:fldCharType="separate"/>
        </w:r>
        <w:r w:rsidR="00DE33DA">
          <w:rPr>
            <w:noProof/>
          </w:rPr>
          <w:t>15</w:t>
        </w:r>
        <w:r w:rsidR="00D830DA">
          <w:rPr>
            <w:noProof/>
          </w:rPr>
          <w:fldChar w:fldCharType="end"/>
        </w:r>
      </w:hyperlink>
    </w:p>
    <w:p w14:paraId="2241A877" w14:textId="5B13C3CE" w:rsidR="00926695" w:rsidRDefault="00AA3F99">
      <w:pPr>
        <w:pStyle w:val="10"/>
        <w:rPr>
          <w:rFonts w:ascii="Calibri" w:hAnsi="Calibri"/>
          <w:noProof/>
          <w:szCs w:val="22"/>
        </w:rPr>
      </w:pPr>
      <w:hyperlink w:anchor="_Toc89430561" w:history="1">
        <w:r w:rsidR="00D830DA">
          <w:rPr>
            <w:rStyle w:val="af7"/>
            <w:rFonts w:hint="eastAsia"/>
            <w:noProof/>
          </w:rPr>
          <w:t>第六部分</w:t>
        </w:r>
        <w:r w:rsidR="00D830DA">
          <w:rPr>
            <w:rStyle w:val="af7"/>
            <w:noProof/>
          </w:rPr>
          <w:t xml:space="preserve">  </w:t>
        </w:r>
        <w:r w:rsidR="00D830DA">
          <w:rPr>
            <w:rStyle w:val="af7"/>
            <w:rFonts w:hint="eastAsia"/>
            <w:noProof/>
          </w:rPr>
          <w:t>基金份额的申购与赎回</w:t>
        </w:r>
        <w:r w:rsidR="00D830DA">
          <w:rPr>
            <w:noProof/>
          </w:rPr>
          <w:tab/>
        </w:r>
        <w:r w:rsidR="00D830DA">
          <w:rPr>
            <w:noProof/>
          </w:rPr>
          <w:fldChar w:fldCharType="begin"/>
        </w:r>
        <w:r w:rsidR="00D830DA">
          <w:rPr>
            <w:noProof/>
          </w:rPr>
          <w:instrText xml:space="preserve"> PAGEREF _Toc89430561 \h </w:instrText>
        </w:r>
        <w:r w:rsidR="00D830DA">
          <w:rPr>
            <w:noProof/>
          </w:rPr>
        </w:r>
        <w:r w:rsidR="00D830DA">
          <w:rPr>
            <w:noProof/>
          </w:rPr>
          <w:fldChar w:fldCharType="separate"/>
        </w:r>
        <w:r w:rsidR="00DE33DA">
          <w:rPr>
            <w:noProof/>
          </w:rPr>
          <w:t>16</w:t>
        </w:r>
        <w:r w:rsidR="00D830DA">
          <w:rPr>
            <w:noProof/>
          </w:rPr>
          <w:fldChar w:fldCharType="end"/>
        </w:r>
      </w:hyperlink>
    </w:p>
    <w:p w14:paraId="4BE8ACCE" w14:textId="126B5CA1" w:rsidR="00926695" w:rsidRDefault="00AA3F99">
      <w:pPr>
        <w:pStyle w:val="10"/>
        <w:rPr>
          <w:rFonts w:ascii="Calibri" w:hAnsi="Calibri"/>
          <w:noProof/>
          <w:szCs w:val="22"/>
        </w:rPr>
      </w:pPr>
      <w:hyperlink w:anchor="_Toc89430562" w:history="1">
        <w:r w:rsidR="00D830DA">
          <w:rPr>
            <w:rStyle w:val="af7"/>
            <w:rFonts w:hint="eastAsia"/>
            <w:noProof/>
          </w:rPr>
          <w:t>第七部分</w:t>
        </w:r>
        <w:r w:rsidR="00D830DA">
          <w:rPr>
            <w:rStyle w:val="af7"/>
            <w:noProof/>
          </w:rPr>
          <w:t xml:space="preserve">  </w:t>
        </w:r>
        <w:r w:rsidR="00D830DA">
          <w:rPr>
            <w:rStyle w:val="af7"/>
            <w:rFonts w:hint="eastAsia"/>
            <w:noProof/>
          </w:rPr>
          <w:t>基金合同当事人及权利义务</w:t>
        </w:r>
        <w:r w:rsidR="00D830DA">
          <w:rPr>
            <w:noProof/>
          </w:rPr>
          <w:tab/>
        </w:r>
        <w:r w:rsidR="00D830DA">
          <w:rPr>
            <w:noProof/>
          </w:rPr>
          <w:fldChar w:fldCharType="begin"/>
        </w:r>
        <w:r w:rsidR="00D830DA">
          <w:rPr>
            <w:noProof/>
          </w:rPr>
          <w:instrText xml:space="preserve"> PAGEREF _Toc89430562 \h </w:instrText>
        </w:r>
        <w:r w:rsidR="00D830DA">
          <w:rPr>
            <w:noProof/>
          </w:rPr>
        </w:r>
        <w:r w:rsidR="00D830DA">
          <w:rPr>
            <w:noProof/>
          </w:rPr>
          <w:fldChar w:fldCharType="separate"/>
        </w:r>
        <w:r w:rsidR="00DE33DA">
          <w:rPr>
            <w:noProof/>
          </w:rPr>
          <w:t>26</w:t>
        </w:r>
        <w:r w:rsidR="00D830DA">
          <w:rPr>
            <w:noProof/>
          </w:rPr>
          <w:fldChar w:fldCharType="end"/>
        </w:r>
      </w:hyperlink>
    </w:p>
    <w:p w14:paraId="383A30EE" w14:textId="4C6954E9" w:rsidR="00926695" w:rsidRDefault="00AA3F99">
      <w:pPr>
        <w:pStyle w:val="10"/>
        <w:rPr>
          <w:rFonts w:ascii="Calibri" w:hAnsi="Calibri"/>
          <w:noProof/>
          <w:szCs w:val="22"/>
        </w:rPr>
      </w:pPr>
      <w:hyperlink w:anchor="_Toc89430563" w:history="1">
        <w:r w:rsidR="00D830DA">
          <w:rPr>
            <w:rStyle w:val="af7"/>
            <w:rFonts w:hint="eastAsia"/>
            <w:noProof/>
          </w:rPr>
          <w:t>第八部分</w:t>
        </w:r>
        <w:r w:rsidR="00D830DA">
          <w:rPr>
            <w:rStyle w:val="af7"/>
            <w:noProof/>
          </w:rPr>
          <w:t xml:space="preserve">  </w:t>
        </w:r>
        <w:r w:rsidR="00D830DA">
          <w:rPr>
            <w:rStyle w:val="af7"/>
            <w:rFonts w:hint="eastAsia"/>
            <w:noProof/>
          </w:rPr>
          <w:t>基金份额持有人大会</w:t>
        </w:r>
        <w:r w:rsidR="00D830DA">
          <w:rPr>
            <w:noProof/>
          </w:rPr>
          <w:tab/>
        </w:r>
        <w:r w:rsidR="00D830DA">
          <w:rPr>
            <w:noProof/>
          </w:rPr>
          <w:fldChar w:fldCharType="begin"/>
        </w:r>
        <w:r w:rsidR="00D830DA">
          <w:rPr>
            <w:noProof/>
          </w:rPr>
          <w:instrText xml:space="preserve"> PAGEREF _Toc89430563 \h </w:instrText>
        </w:r>
        <w:r w:rsidR="00D830DA">
          <w:rPr>
            <w:noProof/>
          </w:rPr>
        </w:r>
        <w:r w:rsidR="00D830DA">
          <w:rPr>
            <w:noProof/>
          </w:rPr>
          <w:fldChar w:fldCharType="separate"/>
        </w:r>
        <w:r w:rsidR="00DE33DA">
          <w:rPr>
            <w:noProof/>
          </w:rPr>
          <w:t>34</w:t>
        </w:r>
        <w:r w:rsidR="00D830DA">
          <w:rPr>
            <w:noProof/>
          </w:rPr>
          <w:fldChar w:fldCharType="end"/>
        </w:r>
      </w:hyperlink>
    </w:p>
    <w:p w14:paraId="2B73E8FD" w14:textId="00C9E8E7" w:rsidR="00926695" w:rsidRDefault="00AA3F99">
      <w:pPr>
        <w:pStyle w:val="10"/>
        <w:rPr>
          <w:rFonts w:ascii="Calibri" w:hAnsi="Calibri"/>
          <w:noProof/>
          <w:szCs w:val="22"/>
        </w:rPr>
      </w:pPr>
      <w:hyperlink w:anchor="_Toc89430564" w:history="1">
        <w:r w:rsidR="00D830DA">
          <w:rPr>
            <w:rStyle w:val="af7"/>
            <w:rFonts w:hint="eastAsia"/>
            <w:noProof/>
          </w:rPr>
          <w:t>第九部分</w:t>
        </w:r>
        <w:r w:rsidR="00D830DA">
          <w:rPr>
            <w:rStyle w:val="af7"/>
            <w:noProof/>
          </w:rPr>
          <w:t xml:space="preserve">  </w:t>
        </w:r>
        <w:r w:rsidR="00D830DA">
          <w:rPr>
            <w:rStyle w:val="af7"/>
            <w:rFonts w:hint="eastAsia"/>
            <w:noProof/>
          </w:rPr>
          <w:t>基金管理人、基金托管人的更换条件和程序</w:t>
        </w:r>
        <w:r w:rsidR="00D830DA">
          <w:rPr>
            <w:noProof/>
          </w:rPr>
          <w:tab/>
        </w:r>
        <w:r w:rsidR="00D830DA">
          <w:rPr>
            <w:noProof/>
          </w:rPr>
          <w:fldChar w:fldCharType="begin"/>
        </w:r>
        <w:r w:rsidR="00D830DA">
          <w:rPr>
            <w:noProof/>
          </w:rPr>
          <w:instrText xml:space="preserve"> PAGEREF _Toc89430564 \h </w:instrText>
        </w:r>
        <w:r w:rsidR="00D830DA">
          <w:rPr>
            <w:noProof/>
          </w:rPr>
        </w:r>
        <w:r w:rsidR="00D830DA">
          <w:rPr>
            <w:noProof/>
          </w:rPr>
          <w:fldChar w:fldCharType="separate"/>
        </w:r>
        <w:r w:rsidR="00DE33DA">
          <w:rPr>
            <w:noProof/>
          </w:rPr>
          <w:t>44</w:t>
        </w:r>
        <w:r w:rsidR="00D830DA">
          <w:rPr>
            <w:noProof/>
          </w:rPr>
          <w:fldChar w:fldCharType="end"/>
        </w:r>
      </w:hyperlink>
    </w:p>
    <w:p w14:paraId="18BDF32D" w14:textId="49077F05" w:rsidR="00926695" w:rsidRDefault="00AA3F99">
      <w:pPr>
        <w:pStyle w:val="10"/>
        <w:rPr>
          <w:rFonts w:ascii="Calibri" w:hAnsi="Calibri"/>
          <w:noProof/>
          <w:szCs w:val="22"/>
        </w:rPr>
      </w:pPr>
      <w:hyperlink w:anchor="_Toc89430565" w:history="1">
        <w:r w:rsidR="00D830DA">
          <w:rPr>
            <w:rStyle w:val="af7"/>
            <w:rFonts w:hint="eastAsia"/>
            <w:noProof/>
          </w:rPr>
          <w:t>第十部分</w:t>
        </w:r>
        <w:r w:rsidR="00D830DA">
          <w:rPr>
            <w:rStyle w:val="af7"/>
            <w:noProof/>
          </w:rPr>
          <w:t xml:space="preserve">  </w:t>
        </w:r>
        <w:r w:rsidR="00D830DA">
          <w:rPr>
            <w:rStyle w:val="af7"/>
            <w:rFonts w:hint="eastAsia"/>
            <w:noProof/>
          </w:rPr>
          <w:t>基金的托管</w:t>
        </w:r>
        <w:r w:rsidR="00D830DA">
          <w:rPr>
            <w:noProof/>
          </w:rPr>
          <w:tab/>
        </w:r>
        <w:r w:rsidR="00D830DA">
          <w:rPr>
            <w:noProof/>
          </w:rPr>
          <w:fldChar w:fldCharType="begin"/>
        </w:r>
        <w:r w:rsidR="00D830DA">
          <w:rPr>
            <w:noProof/>
          </w:rPr>
          <w:instrText xml:space="preserve"> PAGEREF _Toc89430565 \h </w:instrText>
        </w:r>
        <w:r w:rsidR="00D830DA">
          <w:rPr>
            <w:noProof/>
          </w:rPr>
        </w:r>
        <w:r w:rsidR="00D830DA">
          <w:rPr>
            <w:noProof/>
          </w:rPr>
          <w:fldChar w:fldCharType="separate"/>
        </w:r>
        <w:r w:rsidR="00DE33DA">
          <w:rPr>
            <w:noProof/>
          </w:rPr>
          <w:t>47</w:t>
        </w:r>
        <w:r w:rsidR="00D830DA">
          <w:rPr>
            <w:noProof/>
          </w:rPr>
          <w:fldChar w:fldCharType="end"/>
        </w:r>
      </w:hyperlink>
    </w:p>
    <w:p w14:paraId="4A26C0D7" w14:textId="12AEFF03" w:rsidR="00926695" w:rsidRDefault="00AA3F99">
      <w:pPr>
        <w:pStyle w:val="10"/>
        <w:rPr>
          <w:rFonts w:ascii="Calibri" w:hAnsi="Calibri"/>
          <w:noProof/>
          <w:szCs w:val="22"/>
        </w:rPr>
      </w:pPr>
      <w:hyperlink w:anchor="_Toc89430566" w:history="1">
        <w:r w:rsidR="00D830DA">
          <w:rPr>
            <w:rStyle w:val="af7"/>
            <w:rFonts w:hint="eastAsia"/>
            <w:noProof/>
          </w:rPr>
          <w:t>第十一部分</w:t>
        </w:r>
        <w:r w:rsidR="00D830DA">
          <w:rPr>
            <w:rStyle w:val="af7"/>
            <w:noProof/>
          </w:rPr>
          <w:t xml:space="preserve">  </w:t>
        </w:r>
        <w:r w:rsidR="00D830DA">
          <w:rPr>
            <w:rStyle w:val="af7"/>
            <w:rFonts w:hint="eastAsia"/>
            <w:noProof/>
          </w:rPr>
          <w:t>基金份额的登记</w:t>
        </w:r>
        <w:r w:rsidR="00D830DA">
          <w:rPr>
            <w:noProof/>
          </w:rPr>
          <w:tab/>
        </w:r>
        <w:r w:rsidR="00D830DA">
          <w:rPr>
            <w:noProof/>
          </w:rPr>
          <w:fldChar w:fldCharType="begin"/>
        </w:r>
        <w:r w:rsidR="00D830DA">
          <w:rPr>
            <w:noProof/>
          </w:rPr>
          <w:instrText xml:space="preserve"> PAGEREF _Toc89430566 \h </w:instrText>
        </w:r>
        <w:r w:rsidR="00D830DA">
          <w:rPr>
            <w:noProof/>
          </w:rPr>
        </w:r>
        <w:r w:rsidR="00D830DA">
          <w:rPr>
            <w:noProof/>
          </w:rPr>
          <w:fldChar w:fldCharType="separate"/>
        </w:r>
        <w:r w:rsidR="00DE33DA">
          <w:rPr>
            <w:noProof/>
          </w:rPr>
          <w:t>48</w:t>
        </w:r>
        <w:r w:rsidR="00D830DA">
          <w:rPr>
            <w:noProof/>
          </w:rPr>
          <w:fldChar w:fldCharType="end"/>
        </w:r>
      </w:hyperlink>
    </w:p>
    <w:p w14:paraId="4BC0DA7C" w14:textId="005EFB0D" w:rsidR="00926695" w:rsidRDefault="00AA3F99">
      <w:pPr>
        <w:pStyle w:val="10"/>
        <w:rPr>
          <w:rFonts w:ascii="Calibri" w:hAnsi="Calibri"/>
          <w:noProof/>
          <w:szCs w:val="22"/>
        </w:rPr>
      </w:pPr>
      <w:hyperlink w:anchor="_Toc89430567" w:history="1">
        <w:r w:rsidR="00D830DA">
          <w:rPr>
            <w:rStyle w:val="af7"/>
            <w:rFonts w:hint="eastAsia"/>
            <w:noProof/>
          </w:rPr>
          <w:t>第十二部分</w:t>
        </w:r>
        <w:r w:rsidR="00D830DA">
          <w:rPr>
            <w:rStyle w:val="af7"/>
            <w:noProof/>
          </w:rPr>
          <w:t xml:space="preserve">  </w:t>
        </w:r>
        <w:r w:rsidR="00D830DA">
          <w:rPr>
            <w:rStyle w:val="af7"/>
            <w:rFonts w:hint="eastAsia"/>
            <w:noProof/>
          </w:rPr>
          <w:t>基金的投资</w:t>
        </w:r>
        <w:r w:rsidR="00D830DA">
          <w:rPr>
            <w:noProof/>
          </w:rPr>
          <w:tab/>
        </w:r>
        <w:r w:rsidR="00D830DA">
          <w:rPr>
            <w:noProof/>
          </w:rPr>
          <w:fldChar w:fldCharType="begin"/>
        </w:r>
        <w:r w:rsidR="00D830DA">
          <w:rPr>
            <w:noProof/>
          </w:rPr>
          <w:instrText xml:space="preserve"> PAGEREF _Toc89430567 \h </w:instrText>
        </w:r>
        <w:r w:rsidR="00D830DA">
          <w:rPr>
            <w:noProof/>
          </w:rPr>
        </w:r>
        <w:r w:rsidR="00D830DA">
          <w:rPr>
            <w:noProof/>
          </w:rPr>
          <w:fldChar w:fldCharType="separate"/>
        </w:r>
        <w:r w:rsidR="00DE33DA">
          <w:rPr>
            <w:noProof/>
          </w:rPr>
          <w:t>50</w:t>
        </w:r>
        <w:r w:rsidR="00D830DA">
          <w:rPr>
            <w:noProof/>
          </w:rPr>
          <w:fldChar w:fldCharType="end"/>
        </w:r>
      </w:hyperlink>
    </w:p>
    <w:p w14:paraId="408AB3D8" w14:textId="4B2EF43A" w:rsidR="00926695" w:rsidRDefault="00AA3F99">
      <w:pPr>
        <w:pStyle w:val="10"/>
        <w:rPr>
          <w:rFonts w:ascii="Calibri" w:hAnsi="Calibri"/>
          <w:noProof/>
          <w:szCs w:val="22"/>
        </w:rPr>
      </w:pPr>
      <w:hyperlink w:anchor="_Toc89430568" w:history="1">
        <w:r w:rsidR="00D830DA">
          <w:rPr>
            <w:rStyle w:val="af7"/>
            <w:rFonts w:hint="eastAsia"/>
            <w:noProof/>
          </w:rPr>
          <w:t>第十三部分</w:t>
        </w:r>
        <w:r w:rsidR="00D830DA">
          <w:rPr>
            <w:rStyle w:val="af7"/>
            <w:noProof/>
          </w:rPr>
          <w:t xml:space="preserve">  </w:t>
        </w:r>
        <w:r w:rsidR="00D830DA">
          <w:rPr>
            <w:rStyle w:val="af7"/>
            <w:rFonts w:hint="eastAsia"/>
            <w:noProof/>
          </w:rPr>
          <w:t>基金的财产</w:t>
        </w:r>
        <w:r w:rsidR="00D830DA">
          <w:rPr>
            <w:noProof/>
          </w:rPr>
          <w:tab/>
        </w:r>
        <w:r w:rsidR="00D830DA">
          <w:rPr>
            <w:noProof/>
          </w:rPr>
          <w:fldChar w:fldCharType="begin"/>
        </w:r>
        <w:r w:rsidR="00D830DA">
          <w:rPr>
            <w:noProof/>
          </w:rPr>
          <w:instrText xml:space="preserve"> PAGEREF _Toc89430568 \h </w:instrText>
        </w:r>
        <w:r w:rsidR="00D830DA">
          <w:rPr>
            <w:noProof/>
          </w:rPr>
        </w:r>
        <w:r w:rsidR="00D830DA">
          <w:rPr>
            <w:noProof/>
          </w:rPr>
          <w:fldChar w:fldCharType="separate"/>
        </w:r>
        <w:r w:rsidR="00DE33DA">
          <w:rPr>
            <w:noProof/>
          </w:rPr>
          <w:t>61</w:t>
        </w:r>
        <w:r w:rsidR="00D830DA">
          <w:rPr>
            <w:noProof/>
          </w:rPr>
          <w:fldChar w:fldCharType="end"/>
        </w:r>
      </w:hyperlink>
    </w:p>
    <w:p w14:paraId="2422356B" w14:textId="61E2596D" w:rsidR="00926695" w:rsidRDefault="00AA3F99">
      <w:pPr>
        <w:pStyle w:val="10"/>
        <w:rPr>
          <w:rFonts w:ascii="Calibri" w:hAnsi="Calibri"/>
          <w:noProof/>
          <w:szCs w:val="22"/>
        </w:rPr>
      </w:pPr>
      <w:hyperlink w:anchor="_Toc89430569" w:history="1">
        <w:r w:rsidR="00D830DA">
          <w:rPr>
            <w:rStyle w:val="af7"/>
            <w:rFonts w:hint="eastAsia"/>
            <w:noProof/>
          </w:rPr>
          <w:t>第十四部分</w:t>
        </w:r>
        <w:r w:rsidR="00D830DA">
          <w:rPr>
            <w:rStyle w:val="af7"/>
            <w:noProof/>
          </w:rPr>
          <w:t xml:space="preserve">  </w:t>
        </w:r>
        <w:r w:rsidR="00D830DA">
          <w:rPr>
            <w:rStyle w:val="af7"/>
            <w:rFonts w:hint="eastAsia"/>
            <w:noProof/>
          </w:rPr>
          <w:t>基金资产估值</w:t>
        </w:r>
        <w:r w:rsidR="00D830DA">
          <w:rPr>
            <w:noProof/>
          </w:rPr>
          <w:tab/>
        </w:r>
        <w:r w:rsidR="00D830DA">
          <w:rPr>
            <w:noProof/>
          </w:rPr>
          <w:fldChar w:fldCharType="begin"/>
        </w:r>
        <w:r w:rsidR="00D830DA">
          <w:rPr>
            <w:noProof/>
          </w:rPr>
          <w:instrText xml:space="preserve"> PAGEREF _Toc89430569 \h </w:instrText>
        </w:r>
        <w:r w:rsidR="00D830DA">
          <w:rPr>
            <w:noProof/>
          </w:rPr>
        </w:r>
        <w:r w:rsidR="00D830DA">
          <w:rPr>
            <w:noProof/>
          </w:rPr>
          <w:fldChar w:fldCharType="separate"/>
        </w:r>
        <w:r w:rsidR="00DE33DA">
          <w:rPr>
            <w:noProof/>
          </w:rPr>
          <w:t>62</w:t>
        </w:r>
        <w:r w:rsidR="00D830DA">
          <w:rPr>
            <w:noProof/>
          </w:rPr>
          <w:fldChar w:fldCharType="end"/>
        </w:r>
      </w:hyperlink>
    </w:p>
    <w:p w14:paraId="4F681C71" w14:textId="2C45F300" w:rsidR="00926695" w:rsidRDefault="00AA3F99">
      <w:pPr>
        <w:pStyle w:val="10"/>
        <w:rPr>
          <w:rFonts w:ascii="Calibri" w:hAnsi="Calibri"/>
          <w:noProof/>
          <w:szCs w:val="22"/>
        </w:rPr>
      </w:pPr>
      <w:hyperlink w:anchor="_Toc89430570" w:history="1">
        <w:r w:rsidR="00D830DA">
          <w:rPr>
            <w:rStyle w:val="af7"/>
            <w:rFonts w:hint="eastAsia"/>
            <w:noProof/>
          </w:rPr>
          <w:t>第十五部分</w:t>
        </w:r>
        <w:r w:rsidR="00D830DA">
          <w:rPr>
            <w:rStyle w:val="af7"/>
            <w:noProof/>
          </w:rPr>
          <w:t xml:space="preserve">  </w:t>
        </w:r>
        <w:r w:rsidR="00D830DA">
          <w:rPr>
            <w:rStyle w:val="af7"/>
            <w:rFonts w:hint="eastAsia"/>
            <w:noProof/>
          </w:rPr>
          <w:t>基金费用与税收</w:t>
        </w:r>
        <w:r w:rsidR="00D830DA">
          <w:rPr>
            <w:noProof/>
          </w:rPr>
          <w:tab/>
        </w:r>
        <w:r w:rsidR="00D830DA">
          <w:rPr>
            <w:noProof/>
          </w:rPr>
          <w:fldChar w:fldCharType="begin"/>
        </w:r>
        <w:r w:rsidR="00D830DA">
          <w:rPr>
            <w:noProof/>
          </w:rPr>
          <w:instrText xml:space="preserve"> PAGEREF _Toc89430570 \h </w:instrText>
        </w:r>
        <w:r w:rsidR="00D830DA">
          <w:rPr>
            <w:noProof/>
          </w:rPr>
        </w:r>
        <w:r w:rsidR="00D830DA">
          <w:rPr>
            <w:noProof/>
          </w:rPr>
          <w:fldChar w:fldCharType="separate"/>
        </w:r>
        <w:r w:rsidR="00DE33DA">
          <w:rPr>
            <w:noProof/>
          </w:rPr>
          <w:t>69</w:t>
        </w:r>
        <w:r w:rsidR="00D830DA">
          <w:rPr>
            <w:noProof/>
          </w:rPr>
          <w:fldChar w:fldCharType="end"/>
        </w:r>
      </w:hyperlink>
    </w:p>
    <w:p w14:paraId="6817FB55" w14:textId="098C1EDC" w:rsidR="00926695" w:rsidRDefault="00AA3F99">
      <w:pPr>
        <w:pStyle w:val="10"/>
        <w:rPr>
          <w:rFonts w:ascii="Calibri" w:hAnsi="Calibri"/>
          <w:noProof/>
          <w:szCs w:val="22"/>
        </w:rPr>
      </w:pPr>
      <w:hyperlink w:anchor="_Toc89430571" w:history="1">
        <w:r w:rsidR="00D830DA">
          <w:rPr>
            <w:rStyle w:val="af7"/>
            <w:rFonts w:hint="eastAsia"/>
            <w:noProof/>
          </w:rPr>
          <w:t>第十六部分</w:t>
        </w:r>
        <w:r w:rsidR="00D830DA">
          <w:rPr>
            <w:rStyle w:val="af7"/>
            <w:noProof/>
          </w:rPr>
          <w:t xml:space="preserve">  </w:t>
        </w:r>
        <w:r w:rsidR="00D830DA">
          <w:rPr>
            <w:rStyle w:val="af7"/>
            <w:rFonts w:hint="eastAsia"/>
            <w:noProof/>
          </w:rPr>
          <w:t>基金的收益与分配</w:t>
        </w:r>
        <w:r w:rsidR="00D830DA">
          <w:rPr>
            <w:noProof/>
          </w:rPr>
          <w:tab/>
        </w:r>
        <w:r w:rsidR="00D830DA">
          <w:rPr>
            <w:noProof/>
          </w:rPr>
          <w:fldChar w:fldCharType="begin"/>
        </w:r>
        <w:r w:rsidR="00D830DA">
          <w:rPr>
            <w:noProof/>
          </w:rPr>
          <w:instrText xml:space="preserve"> PAGEREF _Toc89430571 \h </w:instrText>
        </w:r>
        <w:r w:rsidR="00D830DA">
          <w:rPr>
            <w:noProof/>
          </w:rPr>
        </w:r>
        <w:r w:rsidR="00D830DA">
          <w:rPr>
            <w:noProof/>
          </w:rPr>
          <w:fldChar w:fldCharType="separate"/>
        </w:r>
        <w:r w:rsidR="00DE33DA">
          <w:rPr>
            <w:noProof/>
          </w:rPr>
          <w:t>73</w:t>
        </w:r>
        <w:r w:rsidR="00D830DA">
          <w:rPr>
            <w:noProof/>
          </w:rPr>
          <w:fldChar w:fldCharType="end"/>
        </w:r>
      </w:hyperlink>
    </w:p>
    <w:p w14:paraId="7B11D560" w14:textId="181BC6C0" w:rsidR="00926695" w:rsidRDefault="00AA3F99">
      <w:pPr>
        <w:pStyle w:val="10"/>
        <w:rPr>
          <w:rFonts w:ascii="Calibri" w:hAnsi="Calibri"/>
          <w:noProof/>
          <w:szCs w:val="22"/>
        </w:rPr>
      </w:pPr>
      <w:hyperlink w:anchor="_Toc89430572" w:history="1">
        <w:r w:rsidR="00D830DA">
          <w:rPr>
            <w:rStyle w:val="af7"/>
            <w:rFonts w:hint="eastAsia"/>
            <w:noProof/>
          </w:rPr>
          <w:t>第十七部分</w:t>
        </w:r>
        <w:r w:rsidR="00D830DA">
          <w:rPr>
            <w:rStyle w:val="af7"/>
            <w:noProof/>
          </w:rPr>
          <w:t xml:space="preserve">  </w:t>
        </w:r>
        <w:r w:rsidR="00D830DA">
          <w:rPr>
            <w:rStyle w:val="af7"/>
            <w:rFonts w:hint="eastAsia"/>
            <w:noProof/>
          </w:rPr>
          <w:t>基金的会计与审计</w:t>
        </w:r>
        <w:r w:rsidR="00D830DA">
          <w:rPr>
            <w:noProof/>
          </w:rPr>
          <w:tab/>
        </w:r>
        <w:r w:rsidR="00D830DA">
          <w:rPr>
            <w:noProof/>
          </w:rPr>
          <w:fldChar w:fldCharType="begin"/>
        </w:r>
        <w:r w:rsidR="00D830DA">
          <w:rPr>
            <w:noProof/>
          </w:rPr>
          <w:instrText xml:space="preserve"> PAGEREF _Toc89430572 \h </w:instrText>
        </w:r>
        <w:r w:rsidR="00D830DA">
          <w:rPr>
            <w:noProof/>
          </w:rPr>
        </w:r>
        <w:r w:rsidR="00D830DA">
          <w:rPr>
            <w:noProof/>
          </w:rPr>
          <w:fldChar w:fldCharType="separate"/>
        </w:r>
        <w:r w:rsidR="00DE33DA">
          <w:rPr>
            <w:noProof/>
          </w:rPr>
          <w:t>75</w:t>
        </w:r>
        <w:r w:rsidR="00D830DA">
          <w:rPr>
            <w:noProof/>
          </w:rPr>
          <w:fldChar w:fldCharType="end"/>
        </w:r>
      </w:hyperlink>
    </w:p>
    <w:p w14:paraId="7633BA7C" w14:textId="4D85A64C" w:rsidR="00926695" w:rsidRDefault="00AA3F99">
      <w:pPr>
        <w:pStyle w:val="10"/>
        <w:rPr>
          <w:rFonts w:ascii="Calibri" w:hAnsi="Calibri"/>
          <w:noProof/>
          <w:szCs w:val="22"/>
        </w:rPr>
      </w:pPr>
      <w:hyperlink w:anchor="_Toc89430573" w:history="1">
        <w:r w:rsidR="00D830DA">
          <w:rPr>
            <w:rStyle w:val="af7"/>
            <w:rFonts w:hint="eastAsia"/>
            <w:noProof/>
          </w:rPr>
          <w:t>第十八部分</w:t>
        </w:r>
        <w:r w:rsidR="00D830DA">
          <w:rPr>
            <w:rStyle w:val="af7"/>
            <w:noProof/>
          </w:rPr>
          <w:t xml:space="preserve">  </w:t>
        </w:r>
        <w:r w:rsidR="00D830DA">
          <w:rPr>
            <w:rStyle w:val="af7"/>
            <w:rFonts w:hint="eastAsia"/>
            <w:noProof/>
          </w:rPr>
          <w:t>基金的信息披露</w:t>
        </w:r>
        <w:r w:rsidR="00D830DA">
          <w:rPr>
            <w:noProof/>
          </w:rPr>
          <w:tab/>
        </w:r>
        <w:r w:rsidR="00D830DA">
          <w:rPr>
            <w:noProof/>
          </w:rPr>
          <w:fldChar w:fldCharType="begin"/>
        </w:r>
        <w:r w:rsidR="00D830DA">
          <w:rPr>
            <w:noProof/>
          </w:rPr>
          <w:instrText xml:space="preserve"> PAGEREF _Toc89430573 \h </w:instrText>
        </w:r>
        <w:r w:rsidR="00D830DA">
          <w:rPr>
            <w:noProof/>
          </w:rPr>
        </w:r>
        <w:r w:rsidR="00D830DA">
          <w:rPr>
            <w:noProof/>
          </w:rPr>
          <w:fldChar w:fldCharType="separate"/>
        </w:r>
        <w:r w:rsidR="00DE33DA">
          <w:rPr>
            <w:noProof/>
          </w:rPr>
          <w:t>76</w:t>
        </w:r>
        <w:r w:rsidR="00D830DA">
          <w:rPr>
            <w:noProof/>
          </w:rPr>
          <w:fldChar w:fldCharType="end"/>
        </w:r>
      </w:hyperlink>
    </w:p>
    <w:p w14:paraId="39861591" w14:textId="70C4FD72" w:rsidR="00926695" w:rsidRDefault="00AA3F99">
      <w:pPr>
        <w:pStyle w:val="10"/>
        <w:rPr>
          <w:rFonts w:ascii="Calibri" w:hAnsi="Calibri"/>
          <w:noProof/>
          <w:szCs w:val="22"/>
        </w:rPr>
      </w:pPr>
      <w:hyperlink w:anchor="_Toc89430574" w:history="1">
        <w:r w:rsidR="00D830DA">
          <w:rPr>
            <w:rStyle w:val="af7"/>
            <w:rFonts w:hint="eastAsia"/>
            <w:noProof/>
          </w:rPr>
          <w:t>第十九部分</w:t>
        </w:r>
        <w:r w:rsidR="00D830DA">
          <w:rPr>
            <w:rStyle w:val="af7"/>
            <w:noProof/>
          </w:rPr>
          <w:t xml:space="preserve">  </w:t>
        </w:r>
        <w:r w:rsidR="00D830DA">
          <w:rPr>
            <w:rStyle w:val="af7"/>
            <w:rFonts w:hint="eastAsia"/>
            <w:noProof/>
          </w:rPr>
          <w:t>基金合同的变更、终止与基金财产的清算</w:t>
        </w:r>
        <w:r w:rsidR="00D830DA">
          <w:rPr>
            <w:noProof/>
          </w:rPr>
          <w:tab/>
        </w:r>
        <w:r w:rsidR="00D830DA">
          <w:rPr>
            <w:noProof/>
          </w:rPr>
          <w:fldChar w:fldCharType="begin"/>
        </w:r>
        <w:r w:rsidR="00D830DA">
          <w:rPr>
            <w:noProof/>
          </w:rPr>
          <w:instrText xml:space="preserve"> PAGEREF _Toc89430574 \h </w:instrText>
        </w:r>
        <w:r w:rsidR="00D830DA">
          <w:rPr>
            <w:noProof/>
          </w:rPr>
        </w:r>
        <w:r w:rsidR="00D830DA">
          <w:rPr>
            <w:noProof/>
          </w:rPr>
          <w:fldChar w:fldCharType="separate"/>
        </w:r>
        <w:r w:rsidR="00DE33DA">
          <w:rPr>
            <w:noProof/>
          </w:rPr>
          <w:t>84</w:t>
        </w:r>
        <w:r w:rsidR="00D830DA">
          <w:rPr>
            <w:noProof/>
          </w:rPr>
          <w:fldChar w:fldCharType="end"/>
        </w:r>
      </w:hyperlink>
    </w:p>
    <w:p w14:paraId="67F63284" w14:textId="25EC2472" w:rsidR="00926695" w:rsidRDefault="00AA3F99">
      <w:pPr>
        <w:pStyle w:val="10"/>
        <w:rPr>
          <w:rFonts w:ascii="Calibri" w:hAnsi="Calibri"/>
          <w:noProof/>
          <w:szCs w:val="22"/>
        </w:rPr>
      </w:pPr>
      <w:hyperlink w:anchor="_Toc89430575" w:history="1">
        <w:r w:rsidR="00D830DA">
          <w:rPr>
            <w:rStyle w:val="af7"/>
            <w:rFonts w:hint="eastAsia"/>
            <w:noProof/>
          </w:rPr>
          <w:t>第二十部分</w:t>
        </w:r>
        <w:r w:rsidR="00D830DA">
          <w:rPr>
            <w:rStyle w:val="af7"/>
            <w:noProof/>
          </w:rPr>
          <w:t xml:space="preserve">  </w:t>
        </w:r>
        <w:r w:rsidR="00D830DA">
          <w:rPr>
            <w:rStyle w:val="af7"/>
            <w:rFonts w:hint="eastAsia"/>
            <w:noProof/>
          </w:rPr>
          <w:t>违约责任</w:t>
        </w:r>
        <w:r w:rsidR="00D830DA">
          <w:rPr>
            <w:noProof/>
          </w:rPr>
          <w:tab/>
        </w:r>
        <w:r w:rsidR="00D830DA">
          <w:rPr>
            <w:noProof/>
          </w:rPr>
          <w:fldChar w:fldCharType="begin"/>
        </w:r>
        <w:r w:rsidR="00D830DA">
          <w:rPr>
            <w:noProof/>
          </w:rPr>
          <w:instrText xml:space="preserve"> PAGEREF _Toc89430575 \h </w:instrText>
        </w:r>
        <w:r w:rsidR="00D830DA">
          <w:rPr>
            <w:noProof/>
          </w:rPr>
        </w:r>
        <w:r w:rsidR="00D830DA">
          <w:rPr>
            <w:noProof/>
          </w:rPr>
          <w:fldChar w:fldCharType="separate"/>
        </w:r>
        <w:r w:rsidR="00DE33DA">
          <w:rPr>
            <w:noProof/>
          </w:rPr>
          <w:t>86</w:t>
        </w:r>
        <w:r w:rsidR="00D830DA">
          <w:rPr>
            <w:noProof/>
          </w:rPr>
          <w:fldChar w:fldCharType="end"/>
        </w:r>
      </w:hyperlink>
    </w:p>
    <w:p w14:paraId="6AFCDFCC" w14:textId="5AA13D82" w:rsidR="00926695" w:rsidRDefault="00AA3F99">
      <w:pPr>
        <w:pStyle w:val="10"/>
        <w:rPr>
          <w:rFonts w:ascii="Calibri" w:hAnsi="Calibri"/>
          <w:noProof/>
          <w:szCs w:val="22"/>
        </w:rPr>
      </w:pPr>
      <w:hyperlink w:anchor="_Toc89430576" w:history="1">
        <w:r w:rsidR="00D830DA">
          <w:rPr>
            <w:rStyle w:val="af7"/>
            <w:rFonts w:hint="eastAsia"/>
            <w:noProof/>
          </w:rPr>
          <w:t>第二十一部分</w:t>
        </w:r>
        <w:r w:rsidR="00D830DA">
          <w:rPr>
            <w:rStyle w:val="af7"/>
            <w:noProof/>
          </w:rPr>
          <w:t xml:space="preserve">  </w:t>
        </w:r>
        <w:r w:rsidR="00D830DA">
          <w:rPr>
            <w:rStyle w:val="af7"/>
            <w:rFonts w:hint="eastAsia"/>
            <w:noProof/>
          </w:rPr>
          <w:t>争议的处理和适用的法律</w:t>
        </w:r>
        <w:r w:rsidR="00D830DA">
          <w:rPr>
            <w:noProof/>
          </w:rPr>
          <w:tab/>
        </w:r>
        <w:r w:rsidR="00D830DA">
          <w:rPr>
            <w:noProof/>
          </w:rPr>
          <w:fldChar w:fldCharType="begin"/>
        </w:r>
        <w:r w:rsidR="00D830DA">
          <w:rPr>
            <w:noProof/>
          </w:rPr>
          <w:instrText xml:space="preserve"> PAGEREF _Toc89430576 \h </w:instrText>
        </w:r>
        <w:r w:rsidR="00D830DA">
          <w:rPr>
            <w:noProof/>
          </w:rPr>
        </w:r>
        <w:r w:rsidR="00D830DA">
          <w:rPr>
            <w:noProof/>
          </w:rPr>
          <w:fldChar w:fldCharType="separate"/>
        </w:r>
        <w:r w:rsidR="00DE33DA">
          <w:rPr>
            <w:noProof/>
          </w:rPr>
          <w:t>87</w:t>
        </w:r>
        <w:r w:rsidR="00D830DA">
          <w:rPr>
            <w:noProof/>
          </w:rPr>
          <w:fldChar w:fldCharType="end"/>
        </w:r>
      </w:hyperlink>
    </w:p>
    <w:p w14:paraId="022279E4" w14:textId="773F2D28" w:rsidR="00926695" w:rsidRDefault="00AA3F99">
      <w:pPr>
        <w:pStyle w:val="10"/>
        <w:rPr>
          <w:rFonts w:ascii="Calibri" w:hAnsi="Calibri"/>
          <w:noProof/>
          <w:szCs w:val="22"/>
        </w:rPr>
      </w:pPr>
      <w:hyperlink w:anchor="_Toc89430577" w:history="1">
        <w:r w:rsidR="00D830DA">
          <w:rPr>
            <w:rStyle w:val="af7"/>
            <w:rFonts w:hint="eastAsia"/>
            <w:noProof/>
          </w:rPr>
          <w:t>第二十二部分</w:t>
        </w:r>
        <w:r w:rsidR="00D830DA">
          <w:rPr>
            <w:rStyle w:val="af7"/>
            <w:noProof/>
          </w:rPr>
          <w:t xml:space="preserve">  </w:t>
        </w:r>
        <w:r w:rsidR="00D830DA">
          <w:rPr>
            <w:rStyle w:val="af7"/>
            <w:rFonts w:hint="eastAsia"/>
            <w:noProof/>
          </w:rPr>
          <w:t>基金合同的效力</w:t>
        </w:r>
        <w:r w:rsidR="00D830DA">
          <w:rPr>
            <w:noProof/>
          </w:rPr>
          <w:tab/>
        </w:r>
        <w:r w:rsidR="00D830DA">
          <w:rPr>
            <w:noProof/>
          </w:rPr>
          <w:fldChar w:fldCharType="begin"/>
        </w:r>
        <w:r w:rsidR="00D830DA">
          <w:rPr>
            <w:noProof/>
          </w:rPr>
          <w:instrText xml:space="preserve"> PAGEREF _Toc89430577 \h </w:instrText>
        </w:r>
        <w:r w:rsidR="00D830DA">
          <w:rPr>
            <w:noProof/>
          </w:rPr>
        </w:r>
        <w:r w:rsidR="00D830DA">
          <w:rPr>
            <w:noProof/>
          </w:rPr>
          <w:fldChar w:fldCharType="separate"/>
        </w:r>
        <w:r w:rsidR="00DE33DA">
          <w:rPr>
            <w:noProof/>
          </w:rPr>
          <w:t>88</w:t>
        </w:r>
        <w:r w:rsidR="00D830DA">
          <w:rPr>
            <w:noProof/>
          </w:rPr>
          <w:fldChar w:fldCharType="end"/>
        </w:r>
      </w:hyperlink>
    </w:p>
    <w:p w14:paraId="7FAADF24" w14:textId="19042B27" w:rsidR="00926695" w:rsidRDefault="00AA3F99">
      <w:pPr>
        <w:pStyle w:val="10"/>
        <w:rPr>
          <w:rFonts w:ascii="Calibri" w:hAnsi="Calibri"/>
          <w:noProof/>
          <w:szCs w:val="22"/>
        </w:rPr>
      </w:pPr>
      <w:hyperlink w:anchor="_Toc89430578" w:history="1">
        <w:r w:rsidR="00D830DA">
          <w:rPr>
            <w:rStyle w:val="af7"/>
            <w:rFonts w:hint="eastAsia"/>
            <w:noProof/>
          </w:rPr>
          <w:t>第二十三部分</w:t>
        </w:r>
        <w:r w:rsidR="00D830DA">
          <w:rPr>
            <w:rStyle w:val="af7"/>
            <w:noProof/>
          </w:rPr>
          <w:t xml:space="preserve">  </w:t>
        </w:r>
        <w:r w:rsidR="00D830DA">
          <w:rPr>
            <w:rStyle w:val="af7"/>
            <w:rFonts w:hint="eastAsia"/>
            <w:noProof/>
          </w:rPr>
          <w:t>其他事项</w:t>
        </w:r>
        <w:r w:rsidR="00D830DA">
          <w:rPr>
            <w:noProof/>
          </w:rPr>
          <w:tab/>
        </w:r>
        <w:r w:rsidR="00D830DA">
          <w:rPr>
            <w:noProof/>
          </w:rPr>
          <w:fldChar w:fldCharType="begin"/>
        </w:r>
        <w:r w:rsidR="00D830DA">
          <w:rPr>
            <w:noProof/>
          </w:rPr>
          <w:instrText xml:space="preserve"> PAGEREF _Toc89430578 \h </w:instrText>
        </w:r>
        <w:r w:rsidR="00D830DA">
          <w:rPr>
            <w:noProof/>
          </w:rPr>
        </w:r>
        <w:r w:rsidR="00D830DA">
          <w:rPr>
            <w:noProof/>
          </w:rPr>
          <w:fldChar w:fldCharType="separate"/>
        </w:r>
        <w:r w:rsidR="00DE33DA">
          <w:rPr>
            <w:noProof/>
          </w:rPr>
          <w:t>89</w:t>
        </w:r>
        <w:r w:rsidR="00D830DA">
          <w:rPr>
            <w:noProof/>
          </w:rPr>
          <w:fldChar w:fldCharType="end"/>
        </w:r>
      </w:hyperlink>
    </w:p>
    <w:p w14:paraId="593F5493" w14:textId="7FBC5FC6" w:rsidR="00926695" w:rsidRDefault="00AA3F99">
      <w:pPr>
        <w:pStyle w:val="10"/>
        <w:rPr>
          <w:rFonts w:ascii="Calibri" w:hAnsi="Calibri"/>
          <w:noProof/>
          <w:szCs w:val="22"/>
        </w:rPr>
      </w:pPr>
      <w:hyperlink w:anchor="_Toc89430579" w:history="1">
        <w:r w:rsidR="00D830DA">
          <w:rPr>
            <w:rStyle w:val="af7"/>
            <w:rFonts w:hint="eastAsia"/>
            <w:noProof/>
          </w:rPr>
          <w:t>第二十四部分</w:t>
        </w:r>
        <w:r w:rsidR="00D830DA">
          <w:rPr>
            <w:rStyle w:val="af7"/>
            <w:noProof/>
          </w:rPr>
          <w:t xml:space="preserve">  </w:t>
        </w:r>
        <w:r w:rsidR="00D830DA">
          <w:rPr>
            <w:rStyle w:val="af7"/>
            <w:rFonts w:hint="eastAsia"/>
            <w:noProof/>
          </w:rPr>
          <w:t>基金合同内容摘要</w:t>
        </w:r>
        <w:r w:rsidR="00D830DA">
          <w:rPr>
            <w:noProof/>
          </w:rPr>
          <w:tab/>
        </w:r>
        <w:r w:rsidR="00D830DA">
          <w:rPr>
            <w:noProof/>
          </w:rPr>
          <w:fldChar w:fldCharType="begin"/>
        </w:r>
        <w:r w:rsidR="00D830DA">
          <w:rPr>
            <w:noProof/>
          </w:rPr>
          <w:instrText xml:space="preserve"> PAGEREF _Toc89430579 \h </w:instrText>
        </w:r>
        <w:r w:rsidR="00D830DA">
          <w:rPr>
            <w:noProof/>
          </w:rPr>
        </w:r>
        <w:r w:rsidR="00D830DA">
          <w:rPr>
            <w:noProof/>
          </w:rPr>
          <w:fldChar w:fldCharType="separate"/>
        </w:r>
        <w:r w:rsidR="00DE33DA">
          <w:rPr>
            <w:noProof/>
          </w:rPr>
          <w:t>90</w:t>
        </w:r>
        <w:r w:rsidR="00D830DA">
          <w:rPr>
            <w:noProof/>
          </w:rPr>
          <w:fldChar w:fldCharType="end"/>
        </w:r>
      </w:hyperlink>
    </w:p>
    <w:p w14:paraId="3A8B8627" w14:textId="77777777" w:rsidR="00926695" w:rsidRDefault="00D830DA">
      <w:pPr>
        <w:pStyle w:val="1"/>
        <w:spacing w:before="0" w:after="0"/>
        <w:jc w:val="center"/>
        <w:rPr>
          <w:rFonts w:ascii="Times New Roman"/>
          <w:b w:val="0"/>
          <w:bCs/>
          <w:color w:val="auto"/>
          <w:kern w:val="2"/>
        </w:rPr>
        <w:sectPr w:rsidR="00926695">
          <w:headerReference w:type="default" r:id="rId11"/>
          <w:pgSz w:w="11906" w:h="16838"/>
          <w:pgMar w:top="1440" w:right="1800" w:bottom="1440" w:left="1800" w:header="851" w:footer="992" w:gutter="0"/>
          <w:pgNumType w:start="1"/>
          <w:cols w:space="720"/>
          <w:docGrid w:type="lines" w:linePitch="312"/>
        </w:sectPr>
      </w:pPr>
      <w:r>
        <w:rPr>
          <w:rFonts w:ascii="Times New Roman"/>
          <w:bCs/>
          <w:color w:val="auto"/>
          <w:kern w:val="2"/>
        </w:rPr>
        <w:fldChar w:fldCharType="end"/>
      </w:r>
      <w:bookmarkStart w:id="19" w:name="_Toc6306"/>
      <w:bookmarkStart w:id="20" w:name="_Toc26897"/>
      <w:bookmarkStart w:id="21" w:name="_Toc23386"/>
      <w:bookmarkStart w:id="22" w:name="_Toc4867"/>
      <w:bookmarkStart w:id="23" w:name="_Toc15517"/>
      <w:bookmarkStart w:id="24" w:name="_Toc30935"/>
      <w:bookmarkStart w:id="25" w:name="_Toc139991730"/>
      <w:bookmarkStart w:id="26" w:name="_Toc4966"/>
      <w:bookmarkStart w:id="27" w:name="_Toc32639"/>
      <w:bookmarkStart w:id="28" w:name="_Toc8727"/>
      <w:bookmarkStart w:id="29" w:name="_Toc29629"/>
      <w:bookmarkStart w:id="30" w:name="_Toc141703880"/>
      <w:bookmarkStart w:id="31" w:name="_Toc123112229"/>
      <w:bookmarkStart w:id="32" w:name="_Toc123112268"/>
      <w:bookmarkStart w:id="33" w:name="_Toc123701389"/>
      <w:bookmarkStart w:id="34" w:name="_Toc233456271"/>
    </w:p>
    <w:p w14:paraId="15A665A1" w14:textId="77777777" w:rsidR="00926695" w:rsidRDefault="00D830DA">
      <w:pPr>
        <w:pStyle w:val="1"/>
        <w:spacing w:before="0" w:after="0"/>
        <w:jc w:val="center"/>
        <w:rPr>
          <w:rFonts w:ascii="Times New Roman"/>
          <w:color w:val="auto"/>
          <w:sz w:val="32"/>
        </w:rPr>
      </w:pPr>
      <w:bookmarkStart w:id="35" w:name="_Toc89430556"/>
      <w:bookmarkStart w:id="36" w:name="_Toc531676868"/>
      <w:r>
        <w:rPr>
          <w:rFonts w:ascii="Times New Roman"/>
          <w:color w:val="auto"/>
          <w:sz w:val="32"/>
        </w:rPr>
        <w:lastRenderedPageBreak/>
        <w:t>第一部分</w:t>
      </w:r>
      <w:r>
        <w:rPr>
          <w:rFonts w:ascii="Times New Roman" w:hint="eastAsia"/>
          <w:color w:val="auto"/>
          <w:sz w:val="32"/>
        </w:rPr>
        <w:t xml:space="preserve">  </w:t>
      </w:r>
      <w:r>
        <w:rPr>
          <w:rFonts w:ascii="Times New Roman"/>
          <w:color w:val="auto"/>
          <w:sz w:val="32"/>
        </w:rPr>
        <w:t>前言</w:t>
      </w:r>
      <w:bookmarkEnd w:id="19"/>
      <w:bookmarkEnd w:id="20"/>
      <w:bookmarkEnd w:id="21"/>
      <w:bookmarkEnd w:id="22"/>
      <w:bookmarkEnd w:id="23"/>
      <w:bookmarkEnd w:id="24"/>
      <w:bookmarkEnd w:id="25"/>
      <w:bookmarkEnd w:id="26"/>
      <w:bookmarkEnd w:id="27"/>
      <w:bookmarkEnd w:id="28"/>
      <w:bookmarkEnd w:id="29"/>
      <w:bookmarkEnd w:id="30"/>
      <w:bookmarkEnd w:id="35"/>
      <w:bookmarkEnd w:id="36"/>
    </w:p>
    <w:p w14:paraId="2B9594B3" w14:textId="77777777" w:rsidR="00926695" w:rsidRDefault="00926695">
      <w:pPr>
        <w:spacing w:line="360" w:lineRule="auto"/>
        <w:rPr>
          <w:bCs/>
        </w:rPr>
      </w:pPr>
      <w:bookmarkStart w:id="37" w:name="_Toc139991731"/>
    </w:p>
    <w:p w14:paraId="24766E3F" w14:textId="77777777" w:rsidR="00926695" w:rsidRDefault="00D830DA">
      <w:pPr>
        <w:tabs>
          <w:tab w:val="left" w:pos="5222"/>
        </w:tabs>
        <w:adjustRightInd w:val="0"/>
        <w:snapToGrid w:val="0"/>
        <w:spacing w:line="360" w:lineRule="auto"/>
        <w:ind w:firstLineChars="200" w:firstLine="480"/>
        <w:rPr>
          <w:rFonts w:ascii="宋体" w:hAnsi="宋体"/>
          <w:bCs/>
          <w:sz w:val="24"/>
        </w:rPr>
      </w:pPr>
      <w:bookmarkStart w:id="38" w:name="_Toc258829399"/>
      <w:bookmarkEnd w:id="31"/>
      <w:bookmarkEnd w:id="32"/>
      <w:bookmarkEnd w:id="33"/>
      <w:bookmarkEnd w:id="37"/>
      <w:r>
        <w:rPr>
          <w:rFonts w:ascii="宋体" w:hAnsi="宋体" w:hint="eastAsia"/>
          <w:bCs/>
          <w:sz w:val="24"/>
        </w:rPr>
        <w:t>一、</w:t>
      </w:r>
      <w:r>
        <w:rPr>
          <w:rFonts w:ascii="宋体" w:hAnsi="宋体"/>
          <w:bCs/>
          <w:sz w:val="24"/>
        </w:rPr>
        <w:t>订立本基金合同的目的、依据和原则</w:t>
      </w:r>
    </w:p>
    <w:p w14:paraId="6E702AD8" w14:textId="77777777" w:rsidR="00926695" w:rsidRDefault="00D830DA">
      <w:pPr>
        <w:adjustRightInd w:val="0"/>
        <w:snapToGrid w:val="0"/>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订立本基金合同的目的是保护投资人合法权益，明确基金合同当事人的权利义务，规范基金运作。</w:t>
      </w:r>
    </w:p>
    <w:p w14:paraId="60289701" w14:textId="77777777" w:rsidR="00926695" w:rsidRDefault="00D830DA">
      <w:pPr>
        <w:adjustRightInd w:val="0"/>
        <w:snapToGrid w:val="0"/>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订立本基金合同的依据是</w:t>
      </w:r>
      <w:r>
        <w:rPr>
          <w:rFonts w:ascii="宋体" w:hAnsi="宋体" w:hint="eastAsia"/>
          <w:bCs/>
          <w:sz w:val="24"/>
        </w:rPr>
        <w:t>《中华人民共和国民法典》</w:t>
      </w:r>
      <w:r>
        <w:rPr>
          <w:rFonts w:ascii="宋体" w:hAnsi="宋体"/>
          <w:bCs/>
          <w:sz w:val="24"/>
        </w:rPr>
        <w:t>、《中华人民共和国证券投资基金法》（以下简称“《基金法》”）、《</w:t>
      </w:r>
      <w:r>
        <w:rPr>
          <w:rFonts w:ascii="宋体" w:hAnsi="宋体" w:hint="eastAsia"/>
          <w:bCs/>
          <w:sz w:val="24"/>
        </w:rPr>
        <w:t>公开募集</w:t>
      </w:r>
      <w:r>
        <w:rPr>
          <w:rFonts w:ascii="宋体" w:hAnsi="宋体"/>
          <w:bCs/>
          <w:sz w:val="24"/>
        </w:rPr>
        <w:t>证券投资基金运作管理办法》（以下简称“《运作办法》”）、《公开募集证券投资基金销售机构监督管理办法》（以下简称“《销售办法》”）、《</w:t>
      </w:r>
      <w:r>
        <w:rPr>
          <w:rFonts w:ascii="宋体" w:hAnsi="宋体" w:hint="eastAsia"/>
          <w:bCs/>
          <w:sz w:val="24"/>
        </w:rPr>
        <w:t>公开募集</w:t>
      </w:r>
      <w:r>
        <w:rPr>
          <w:rFonts w:ascii="宋体" w:hAnsi="宋体"/>
          <w:bCs/>
          <w:sz w:val="24"/>
        </w:rPr>
        <w:t>证券投资基金信息披露管理办法》（以下简称“《信息披露办法》”）</w:t>
      </w:r>
      <w:r>
        <w:rPr>
          <w:rFonts w:ascii="宋体" w:hAnsi="宋体" w:hint="eastAsia"/>
          <w:bCs/>
          <w:sz w:val="24"/>
        </w:rPr>
        <w:t>、《公开募集开放式证券投资基金流动性风险管理规定》（以下简称“《流动性风险管理规定》”）、《公开募集证券投资基金侧袋机制指引（试行）》</w:t>
      </w:r>
      <w:r>
        <w:rPr>
          <w:rFonts w:ascii="宋体" w:hAnsi="宋体" w:hint="eastAsia"/>
          <w:sz w:val="24"/>
        </w:rPr>
        <w:t>、《公开募集证券投资基金运作指引第2号——基金中基金指引》、《公开募集证券投资基金运作指引第3号——指数基金指引》（以下简称“《指数基金指引》”）</w:t>
      </w:r>
      <w:r>
        <w:rPr>
          <w:rFonts w:ascii="宋体" w:hAnsi="宋体"/>
          <w:bCs/>
          <w:sz w:val="24"/>
        </w:rPr>
        <w:t>和其他有关法律法规。</w:t>
      </w:r>
    </w:p>
    <w:p w14:paraId="7F3813C3" w14:textId="77777777" w:rsidR="00926695" w:rsidRDefault="00D830DA">
      <w:pPr>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订立本基金合同的原则是平等自愿、诚实信用、充分保护投资人合法权益。</w:t>
      </w:r>
    </w:p>
    <w:p w14:paraId="255B2896" w14:textId="77777777" w:rsidR="00926695" w:rsidRDefault="00D830DA">
      <w:pPr>
        <w:adjustRightInd w:val="0"/>
        <w:snapToGrid w:val="0"/>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530C900" w14:textId="77777777" w:rsidR="00926695" w:rsidRDefault="00D830DA">
      <w:pPr>
        <w:adjustRightInd w:val="0"/>
        <w:snapToGrid w:val="0"/>
        <w:spacing w:line="360" w:lineRule="auto"/>
        <w:ind w:firstLineChars="200" w:firstLine="480"/>
        <w:rPr>
          <w:rFonts w:ascii="宋体" w:hAnsi="宋体"/>
          <w:bCs/>
        </w:rPr>
      </w:pPr>
      <w:r>
        <w:rPr>
          <w:rFonts w:ascii="宋体" w:hAnsi="宋体"/>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r>
        <w:rPr>
          <w:rFonts w:ascii="宋体" w:hAnsi="宋体" w:hint="eastAsia"/>
          <w:bCs/>
          <w:sz w:val="24"/>
        </w:rPr>
        <w:t>基金份额持有人作为本基金合同的当事人，不以其在本基金合同上书面签章或签字为必要条件。</w:t>
      </w:r>
    </w:p>
    <w:p w14:paraId="2B9BDBEB" w14:textId="77777777" w:rsidR="00926695" w:rsidRDefault="00D830DA">
      <w:pPr>
        <w:adjustRightInd w:val="0"/>
        <w:snapToGrid w:val="0"/>
        <w:spacing w:line="360" w:lineRule="auto"/>
        <w:ind w:firstLineChars="200" w:firstLine="480"/>
        <w:rPr>
          <w:rFonts w:ascii="宋体" w:hAnsi="宋体"/>
          <w:bCs/>
          <w:sz w:val="24"/>
        </w:rPr>
      </w:pPr>
      <w:r>
        <w:rPr>
          <w:rFonts w:ascii="宋体" w:hAnsi="宋体" w:hint="eastAsia"/>
          <w:bCs/>
          <w:sz w:val="24"/>
        </w:rPr>
        <w:t>三、银华中证有色金属交易型开放式指数证券投资基金联接基金</w:t>
      </w:r>
      <w:r>
        <w:rPr>
          <w:rFonts w:ascii="宋体" w:hAnsi="宋体"/>
          <w:bCs/>
          <w:sz w:val="24"/>
        </w:rPr>
        <w:t>由基金管理人依照《基金法》、基金合同及其他有关规定募集，并经中国证券监督管理委员会（以下简称“中国证监会”）</w:t>
      </w:r>
      <w:r>
        <w:rPr>
          <w:rFonts w:ascii="宋体" w:hAnsi="宋体" w:hint="eastAsia"/>
          <w:bCs/>
          <w:sz w:val="24"/>
        </w:rPr>
        <w:t>注册</w:t>
      </w:r>
      <w:r>
        <w:rPr>
          <w:rFonts w:ascii="宋体" w:hAnsi="宋体"/>
          <w:bCs/>
          <w:sz w:val="24"/>
        </w:rPr>
        <w:t>。</w:t>
      </w:r>
    </w:p>
    <w:p w14:paraId="155094D3" w14:textId="77777777" w:rsidR="00926695" w:rsidRDefault="00D830DA">
      <w:pPr>
        <w:adjustRightInd w:val="0"/>
        <w:snapToGrid w:val="0"/>
        <w:spacing w:line="360" w:lineRule="auto"/>
        <w:ind w:firstLineChars="200" w:firstLine="480"/>
        <w:rPr>
          <w:rFonts w:ascii="宋体" w:hAnsi="宋体"/>
          <w:bCs/>
          <w:sz w:val="24"/>
        </w:rPr>
      </w:pPr>
      <w:r>
        <w:rPr>
          <w:rFonts w:ascii="宋体" w:hAnsi="宋体"/>
          <w:bCs/>
          <w:sz w:val="24"/>
        </w:rPr>
        <w:t>中国证监会对本基金募集的</w:t>
      </w:r>
      <w:r>
        <w:rPr>
          <w:rFonts w:ascii="宋体" w:hAnsi="宋体" w:hint="eastAsia"/>
          <w:bCs/>
          <w:sz w:val="24"/>
        </w:rPr>
        <w:t>注册</w:t>
      </w:r>
      <w:r>
        <w:rPr>
          <w:rFonts w:ascii="宋体" w:hAnsi="宋体"/>
          <w:bCs/>
          <w:sz w:val="24"/>
        </w:rPr>
        <w:t>，并不表明其对本基金的</w:t>
      </w:r>
      <w:r>
        <w:rPr>
          <w:rFonts w:ascii="宋体" w:hAnsi="宋体" w:hint="eastAsia"/>
          <w:bCs/>
          <w:sz w:val="24"/>
        </w:rPr>
        <w:t>投资</w:t>
      </w:r>
      <w:r>
        <w:rPr>
          <w:rFonts w:ascii="宋体" w:hAnsi="宋体"/>
          <w:bCs/>
          <w:sz w:val="24"/>
        </w:rPr>
        <w:t>价值</w:t>
      </w:r>
      <w:r>
        <w:rPr>
          <w:rFonts w:ascii="宋体" w:hAnsi="宋体" w:hint="eastAsia"/>
          <w:bCs/>
          <w:sz w:val="24"/>
        </w:rPr>
        <w:t>和</w:t>
      </w:r>
      <w:r>
        <w:rPr>
          <w:rFonts w:ascii="宋体" w:hAnsi="宋体"/>
          <w:bCs/>
          <w:sz w:val="24"/>
        </w:rPr>
        <w:t>市场前</w:t>
      </w:r>
      <w:r>
        <w:rPr>
          <w:rFonts w:ascii="宋体" w:hAnsi="宋体"/>
          <w:bCs/>
          <w:sz w:val="24"/>
        </w:rPr>
        <w:lastRenderedPageBreak/>
        <w:t>景做出实质性判断或保证，也不表明投资于本基金没有风险。</w:t>
      </w:r>
    </w:p>
    <w:p w14:paraId="4F6A1CF2" w14:textId="77777777" w:rsidR="00926695" w:rsidRDefault="00D830DA">
      <w:pPr>
        <w:adjustRightInd w:val="0"/>
        <w:snapToGrid w:val="0"/>
        <w:spacing w:line="360" w:lineRule="auto"/>
        <w:ind w:firstLineChars="200" w:firstLine="480"/>
        <w:rPr>
          <w:rFonts w:ascii="宋体" w:hAnsi="宋体"/>
          <w:bCs/>
          <w:sz w:val="24"/>
        </w:rPr>
      </w:pPr>
      <w:r>
        <w:rPr>
          <w:rFonts w:ascii="宋体" w:hAnsi="宋体"/>
          <w:bCs/>
          <w:sz w:val="24"/>
        </w:rPr>
        <w:t>基金管理人依照恪尽职守、诚实信用、谨慎勤勉的原则管理和运用基金财产，但不保证投资于本基金一定盈利，也不保证最低收益。</w:t>
      </w:r>
    </w:p>
    <w:p w14:paraId="34E555E4" w14:textId="77777777" w:rsidR="00926695" w:rsidRDefault="00D830DA">
      <w:pPr>
        <w:adjustRightInd w:val="0"/>
        <w:snapToGrid w:val="0"/>
        <w:spacing w:line="360" w:lineRule="auto"/>
        <w:ind w:firstLineChars="200" w:firstLine="480"/>
        <w:rPr>
          <w:rFonts w:ascii="宋体" w:hAnsi="宋体"/>
          <w:b/>
          <w:sz w:val="24"/>
        </w:rPr>
      </w:pPr>
      <w:r>
        <w:rPr>
          <w:rFonts w:ascii="宋体" w:hAnsi="宋体" w:hint="eastAsia"/>
          <w:bCs/>
          <w:sz w:val="24"/>
        </w:rPr>
        <w:t>投资人应当认真阅读基金招募说明书、基金合同、基金产品资料概要等信息披露文件，自主判断基金的投资价值，自主做出投资决策，自行承担投资风险。</w:t>
      </w:r>
      <w:r>
        <w:rPr>
          <w:rFonts w:ascii="宋体" w:hAnsi="宋体" w:hint="eastAsia"/>
          <w:b/>
          <w:sz w:val="24"/>
        </w:rPr>
        <w:t>投资者应当认真阅读并完全理解基金合同第二十部分规定的免责条款、第二十一部分规定的争议处理方式。</w:t>
      </w:r>
    </w:p>
    <w:p w14:paraId="5D1CEDD5" w14:textId="77777777" w:rsidR="00926695" w:rsidRDefault="00D830DA">
      <w:pPr>
        <w:adjustRightInd w:val="0"/>
        <w:snapToGrid w:val="0"/>
        <w:spacing w:line="360" w:lineRule="auto"/>
        <w:ind w:firstLineChars="200" w:firstLine="480"/>
        <w:rPr>
          <w:rFonts w:ascii="宋体" w:hAnsi="宋体"/>
          <w:bCs/>
          <w:sz w:val="24"/>
        </w:rPr>
      </w:pPr>
      <w:r>
        <w:rPr>
          <w:rFonts w:ascii="宋体" w:hAnsi="宋体" w:hint="eastAsia"/>
          <w:bCs/>
          <w:sz w:val="24"/>
        </w:rPr>
        <w:t>四、</w:t>
      </w:r>
      <w:r>
        <w:rPr>
          <w:rFonts w:ascii="宋体" w:hAnsi="宋体"/>
          <w:bCs/>
          <w:sz w:val="24"/>
        </w:rPr>
        <w:t>基金管理人、基金托管人在本基金合同之外披露涉及本基金的信息，其内容涉及界定基金合同当事人之间权利义务关系的，如与基金合同有冲突，以基金合同为准。</w:t>
      </w:r>
    </w:p>
    <w:p w14:paraId="39DCF4B2" w14:textId="77777777" w:rsidR="00926695" w:rsidRDefault="00D830DA">
      <w:pPr>
        <w:adjustRightInd w:val="0"/>
        <w:snapToGrid w:val="0"/>
        <w:spacing w:line="360" w:lineRule="auto"/>
        <w:ind w:firstLineChars="200" w:firstLine="480"/>
        <w:rPr>
          <w:bCs/>
          <w:sz w:val="24"/>
        </w:rPr>
      </w:pPr>
      <w:r>
        <w:rPr>
          <w:rFonts w:ascii="宋体" w:hAnsi="宋体" w:hint="eastAsia"/>
          <w:bCs/>
          <w:sz w:val="24"/>
        </w:rPr>
        <w:t>五、本基金按照中国法律法规成立并运作，</w:t>
      </w:r>
      <w:proofErr w:type="gramStart"/>
      <w:r>
        <w:rPr>
          <w:rFonts w:ascii="宋体" w:hAnsi="宋体" w:hint="eastAsia"/>
          <w:bCs/>
          <w:sz w:val="24"/>
        </w:rPr>
        <w:t>若</w:t>
      </w:r>
      <w:r>
        <w:rPr>
          <w:rFonts w:ascii="宋体" w:hAnsi="宋体"/>
          <w:bCs/>
          <w:sz w:val="24"/>
        </w:rPr>
        <w:t>基金</w:t>
      </w:r>
      <w:proofErr w:type="gramEnd"/>
      <w:r>
        <w:rPr>
          <w:rFonts w:ascii="宋体" w:hAnsi="宋体"/>
          <w:bCs/>
          <w:sz w:val="24"/>
        </w:rPr>
        <w:t>合同的内容与届时有效的法律法规的强制性规定不一致，应当以届时有效的法律法规的规定为准。</w:t>
      </w:r>
    </w:p>
    <w:p w14:paraId="6CA43537" w14:textId="77777777" w:rsidR="00926695" w:rsidRDefault="00D830DA">
      <w:pPr>
        <w:adjustRightInd w:val="0"/>
        <w:snapToGrid w:val="0"/>
        <w:spacing w:line="360" w:lineRule="auto"/>
        <w:ind w:firstLineChars="200" w:firstLine="480"/>
        <w:rPr>
          <w:bCs/>
          <w:sz w:val="24"/>
        </w:rPr>
      </w:pPr>
      <w:r>
        <w:rPr>
          <w:rFonts w:hint="eastAsia"/>
          <w:bCs/>
          <w:sz w:val="24"/>
        </w:rPr>
        <w:t>六、基金份额持有人承诺其知悉《中华人民共和国反洗钱法》、《中国人民银行关于加强开户管理及可疑交易报告后续控制措施的通知》、《金融机构大额交易和可疑交易报告管理办法》、《中国人民银行关于落实执行联合国安理会相关决议的通知》等反洗钱相关法律法规的规定，将严格遵守上述规定，不会违反任何前述规定；承诺用于基金投资的资金来源不属于违法犯罪所得及其收益；承诺出示真实有效的身份证件或者其他身份证明文件，积极履行反洗钱职责，不借助本基金进行洗钱、恐怖融资等违法犯罪活动。</w:t>
      </w:r>
    </w:p>
    <w:p w14:paraId="729A760A" w14:textId="77777777" w:rsidR="00926695" w:rsidRDefault="00D830DA">
      <w:pPr>
        <w:adjustRightInd w:val="0"/>
        <w:snapToGrid w:val="0"/>
        <w:spacing w:line="360" w:lineRule="auto"/>
        <w:ind w:firstLineChars="200" w:firstLine="480"/>
        <w:rPr>
          <w:bCs/>
          <w:sz w:val="24"/>
        </w:rPr>
      </w:pPr>
      <w:r>
        <w:rPr>
          <w:rFonts w:hint="eastAsia"/>
          <w:bCs/>
          <w:sz w:val="24"/>
        </w:rPr>
        <w:t>基金份额持有人承诺，其不属于中国有权机</w:t>
      </w:r>
      <w:bookmarkStart w:id="39" w:name="_GoBack"/>
      <w:bookmarkEnd w:id="39"/>
      <w:r>
        <w:rPr>
          <w:rFonts w:hint="eastAsia"/>
          <w:bCs/>
          <w:sz w:val="24"/>
        </w:rPr>
        <w:t>关或得到我国承认的联合国、其他司法管辖区有权机关制裁名单内的企业或个人，</w:t>
      </w:r>
      <w:proofErr w:type="gramStart"/>
      <w:r>
        <w:rPr>
          <w:rFonts w:hint="eastAsia"/>
          <w:bCs/>
          <w:sz w:val="24"/>
        </w:rPr>
        <w:t>不</w:t>
      </w:r>
      <w:proofErr w:type="gramEnd"/>
      <w:r>
        <w:rPr>
          <w:rFonts w:hint="eastAsia"/>
          <w:bCs/>
          <w:sz w:val="24"/>
        </w:rPr>
        <w:t>位于被中国有权机关或得到我国承认的联合国、其他司法管辖区有权机关制裁的国家和地区。</w:t>
      </w:r>
    </w:p>
    <w:p w14:paraId="2AAF4F9A" w14:textId="77777777" w:rsidR="00926695" w:rsidRDefault="00D830DA">
      <w:pPr>
        <w:adjustRightInd w:val="0"/>
        <w:snapToGrid w:val="0"/>
        <w:spacing w:line="360" w:lineRule="auto"/>
        <w:ind w:firstLineChars="200" w:firstLine="480"/>
        <w:rPr>
          <w:bCs/>
          <w:sz w:val="24"/>
        </w:rPr>
      </w:pPr>
      <w:r>
        <w:rPr>
          <w:rFonts w:hint="eastAsia"/>
          <w:bCs/>
          <w:sz w:val="24"/>
        </w:rPr>
        <w:t>七</w:t>
      </w:r>
      <w:r>
        <w:rPr>
          <w:bCs/>
          <w:sz w:val="24"/>
        </w:rPr>
        <w:t>、</w:t>
      </w:r>
      <w:r>
        <w:rPr>
          <w:rFonts w:hint="eastAsia"/>
          <w:bCs/>
          <w:sz w:val="24"/>
        </w:rPr>
        <w:t>当本基金持有特定资产且存在或潜在大额赎回申请时，基金管理人履行相应程序后，可以</w:t>
      </w:r>
      <w:proofErr w:type="gramStart"/>
      <w:r>
        <w:rPr>
          <w:rFonts w:hint="eastAsia"/>
          <w:bCs/>
          <w:sz w:val="24"/>
        </w:rPr>
        <w:t>启用侧袋机制</w:t>
      </w:r>
      <w:proofErr w:type="gramEnd"/>
      <w:r>
        <w:rPr>
          <w:rFonts w:hint="eastAsia"/>
          <w:bCs/>
          <w:sz w:val="24"/>
        </w:rPr>
        <w:t>。</w:t>
      </w:r>
      <w:proofErr w:type="gramStart"/>
      <w:r>
        <w:rPr>
          <w:rFonts w:hint="eastAsia"/>
          <w:bCs/>
          <w:sz w:val="24"/>
        </w:rPr>
        <w:t>请基金</w:t>
      </w:r>
      <w:proofErr w:type="gramEnd"/>
      <w:r>
        <w:rPr>
          <w:rFonts w:hint="eastAsia"/>
          <w:bCs/>
          <w:sz w:val="24"/>
        </w:rPr>
        <w:t>份额持有人仔细阅读相关内容并关注本基金启用</w:t>
      </w:r>
      <w:proofErr w:type="gramStart"/>
      <w:r>
        <w:rPr>
          <w:rFonts w:hint="eastAsia"/>
          <w:bCs/>
          <w:sz w:val="24"/>
        </w:rPr>
        <w:t>侧袋机制</w:t>
      </w:r>
      <w:proofErr w:type="gramEnd"/>
      <w:r>
        <w:rPr>
          <w:rFonts w:hint="eastAsia"/>
          <w:bCs/>
          <w:sz w:val="24"/>
        </w:rPr>
        <w:t>时的特定风险。</w:t>
      </w:r>
    </w:p>
    <w:p w14:paraId="228D8510" w14:textId="77777777" w:rsidR="00926695" w:rsidRDefault="00D830DA">
      <w:pPr>
        <w:spacing w:line="348" w:lineRule="auto"/>
        <w:ind w:firstLine="480"/>
        <w:rPr>
          <w:rFonts w:ascii="黑体" w:hAnsi="黑体"/>
          <w:bCs/>
          <w:sz w:val="24"/>
        </w:rPr>
      </w:pPr>
      <w:r>
        <w:rPr>
          <w:rFonts w:ascii="黑体" w:hAnsi="黑体" w:hint="eastAsia"/>
          <w:bCs/>
          <w:sz w:val="24"/>
        </w:rPr>
        <w:t>八</w:t>
      </w:r>
      <w:r>
        <w:rPr>
          <w:rFonts w:ascii="黑体" w:hAnsi="黑体"/>
          <w:bCs/>
          <w:sz w:val="24"/>
        </w:rPr>
        <w:t>、</w:t>
      </w:r>
      <w:r>
        <w:rPr>
          <w:rFonts w:ascii="黑体" w:hAnsi="黑体" w:hint="eastAsia"/>
          <w:bCs/>
          <w:sz w:val="24"/>
        </w:rPr>
        <w:t>本基金的投资范围包括存托凭证，若投资可能面临中国存托凭证价格大幅波动甚至出现较大亏损的风险，以及与创新企业、境外发行人、中国存托凭证发行机制以及交易机制等相关的风险。</w:t>
      </w:r>
    </w:p>
    <w:p w14:paraId="2A36808B" w14:textId="77777777" w:rsidR="00926695" w:rsidRDefault="00D830DA">
      <w:pPr>
        <w:spacing w:line="348" w:lineRule="auto"/>
        <w:ind w:firstLine="480"/>
        <w:jc w:val="left"/>
        <w:rPr>
          <w:sz w:val="32"/>
        </w:rPr>
      </w:pPr>
      <w:r>
        <w:rPr>
          <w:rFonts w:ascii="黑体" w:hAnsi="黑体" w:hint="eastAsia"/>
          <w:bCs/>
          <w:sz w:val="24"/>
        </w:rPr>
        <w:t>九、本基金主要投资于目标</w:t>
      </w:r>
      <w:r>
        <w:rPr>
          <w:rFonts w:ascii="宋体" w:hAnsi="宋体" w:hint="eastAsia"/>
          <w:bCs/>
          <w:sz w:val="24"/>
        </w:rPr>
        <w:t>ETF</w:t>
      </w:r>
      <w:r>
        <w:rPr>
          <w:rFonts w:ascii="黑体" w:hAnsi="黑体" w:hint="eastAsia"/>
          <w:bCs/>
          <w:sz w:val="24"/>
        </w:rPr>
        <w:t>、标的指数成份股及备选成份股，存在跟踪误差控制未达约定目标、指数编制机构停止服务、成份股停牌等潜在风险，</w:t>
      </w:r>
      <w:r>
        <w:rPr>
          <w:rFonts w:ascii="黑体" w:hAnsi="黑体" w:hint="eastAsia"/>
          <w:bCs/>
          <w:sz w:val="24"/>
        </w:rPr>
        <w:lastRenderedPageBreak/>
        <w:t>具体风险详见招募说明书“风险揭示”部分。</w:t>
      </w:r>
      <w:r>
        <w:rPr>
          <w:bCs/>
          <w:kern w:val="44"/>
        </w:rPr>
        <w:br w:type="page"/>
      </w:r>
      <w:bookmarkStart w:id="40" w:name="_Toc819"/>
      <w:bookmarkStart w:id="41" w:name="_Toc89430557"/>
      <w:bookmarkStart w:id="42" w:name="_Toc13020"/>
      <w:bookmarkStart w:id="43" w:name="_Toc2465"/>
      <w:bookmarkStart w:id="44" w:name="_Toc22864"/>
      <w:bookmarkStart w:id="45" w:name="_Toc6617"/>
      <w:bookmarkStart w:id="46" w:name="_Toc24860"/>
      <w:bookmarkStart w:id="47" w:name="_Toc19592"/>
      <w:bookmarkStart w:id="48" w:name="_Toc3224"/>
      <w:bookmarkStart w:id="49" w:name="_Toc21301"/>
      <w:bookmarkStart w:id="50" w:name="_Toc15067"/>
      <w:bookmarkStart w:id="51" w:name="_Toc531676869"/>
    </w:p>
    <w:p w14:paraId="07EE2426" w14:textId="77777777" w:rsidR="00926695" w:rsidRPr="00AD2C2A" w:rsidRDefault="00D830DA" w:rsidP="00AD2C2A">
      <w:pPr>
        <w:pStyle w:val="1"/>
        <w:adjustRightInd w:val="0"/>
        <w:snapToGrid w:val="0"/>
        <w:spacing w:before="0" w:after="0"/>
        <w:jc w:val="center"/>
        <w:rPr>
          <w:b w:val="0"/>
          <w:sz w:val="32"/>
        </w:rPr>
      </w:pPr>
      <w:r w:rsidRPr="00AD2C2A">
        <w:rPr>
          <w:rFonts w:ascii="Times New Roman" w:hint="eastAsia"/>
          <w:color w:val="auto"/>
          <w:sz w:val="32"/>
        </w:rPr>
        <w:lastRenderedPageBreak/>
        <w:t>第二部分</w:t>
      </w:r>
      <w:r w:rsidRPr="00AD2C2A">
        <w:rPr>
          <w:rFonts w:ascii="Times New Roman"/>
          <w:color w:val="auto"/>
          <w:sz w:val="32"/>
        </w:rPr>
        <w:t xml:space="preserve">  </w:t>
      </w:r>
      <w:r w:rsidRPr="00AD2C2A">
        <w:rPr>
          <w:rFonts w:ascii="Times New Roman" w:hint="eastAsia"/>
          <w:color w:val="auto"/>
          <w:sz w:val="32"/>
        </w:rPr>
        <w:t>释义</w:t>
      </w:r>
      <w:bookmarkEnd w:id="34"/>
      <w:bookmarkEnd w:id="38"/>
      <w:bookmarkEnd w:id="40"/>
      <w:bookmarkEnd w:id="41"/>
      <w:bookmarkEnd w:id="42"/>
      <w:bookmarkEnd w:id="43"/>
      <w:bookmarkEnd w:id="44"/>
      <w:bookmarkEnd w:id="45"/>
      <w:bookmarkEnd w:id="46"/>
      <w:bookmarkEnd w:id="47"/>
      <w:bookmarkEnd w:id="48"/>
      <w:bookmarkEnd w:id="49"/>
      <w:bookmarkEnd w:id="50"/>
      <w:bookmarkEnd w:id="51"/>
    </w:p>
    <w:p w14:paraId="55ED7C80" w14:textId="77777777" w:rsidR="00926695" w:rsidRDefault="00926695">
      <w:pPr>
        <w:autoSpaceDE w:val="0"/>
        <w:autoSpaceDN w:val="0"/>
        <w:spacing w:line="360" w:lineRule="auto"/>
        <w:ind w:firstLineChars="200" w:firstLine="420"/>
        <w:rPr>
          <w:bCs/>
        </w:rPr>
      </w:pPr>
    </w:p>
    <w:p w14:paraId="12CE2B45"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在本基金合同中，除非文意另有所指，下列词语或简称具有如下含义：</w:t>
      </w:r>
    </w:p>
    <w:p w14:paraId="0A5EB7B5"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基金或本基金：</w:t>
      </w:r>
      <w:proofErr w:type="gramStart"/>
      <w:r>
        <w:rPr>
          <w:rFonts w:ascii="宋体" w:hAnsi="宋体"/>
          <w:bCs/>
          <w:sz w:val="24"/>
          <w:szCs w:val="24"/>
        </w:rPr>
        <w:t>指</w:t>
      </w:r>
      <w:r>
        <w:rPr>
          <w:rFonts w:ascii="宋体" w:hAnsi="宋体" w:hint="eastAsia"/>
          <w:bCs/>
          <w:sz w:val="24"/>
        </w:rPr>
        <w:t>银华中</w:t>
      </w:r>
      <w:proofErr w:type="gramEnd"/>
      <w:r>
        <w:rPr>
          <w:rFonts w:ascii="宋体" w:hAnsi="宋体" w:hint="eastAsia"/>
          <w:bCs/>
          <w:sz w:val="24"/>
        </w:rPr>
        <w:t>证有色金属交易型开放式指数证券投资基金联接基金</w:t>
      </w:r>
    </w:p>
    <w:p w14:paraId="6EBA52B9"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基金管理人：</w:t>
      </w:r>
      <w:proofErr w:type="gramStart"/>
      <w:r>
        <w:rPr>
          <w:rFonts w:ascii="宋体" w:hAnsi="宋体"/>
          <w:bCs/>
          <w:sz w:val="24"/>
          <w:szCs w:val="24"/>
        </w:rPr>
        <w:t>指</w:t>
      </w:r>
      <w:r>
        <w:rPr>
          <w:rFonts w:ascii="宋体" w:hAnsi="宋体" w:hint="eastAsia"/>
          <w:bCs/>
          <w:sz w:val="24"/>
          <w:szCs w:val="24"/>
        </w:rPr>
        <w:t>银华</w:t>
      </w:r>
      <w:proofErr w:type="gramEnd"/>
      <w:r>
        <w:rPr>
          <w:rFonts w:ascii="宋体" w:hAnsi="宋体" w:hint="eastAsia"/>
          <w:bCs/>
          <w:sz w:val="24"/>
          <w:szCs w:val="24"/>
        </w:rPr>
        <w:t>基金管理股份有限公司</w:t>
      </w:r>
    </w:p>
    <w:p w14:paraId="7D047758"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bCs/>
          <w:sz w:val="24"/>
          <w:szCs w:val="24"/>
        </w:rPr>
        <w:t>基金托管人：指</w:t>
      </w:r>
      <w:r>
        <w:rPr>
          <w:rFonts w:ascii="宋体" w:hAnsi="宋体" w:hint="eastAsia"/>
          <w:bCs/>
          <w:sz w:val="24"/>
          <w:szCs w:val="24"/>
        </w:rPr>
        <w:t>中国建设银行股份有限公司</w:t>
      </w:r>
    </w:p>
    <w:p w14:paraId="2F6359CA"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w:t>
      </w:r>
      <w:r>
        <w:rPr>
          <w:rFonts w:ascii="宋体" w:hAnsi="宋体"/>
          <w:bCs/>
          <w:sz w:val="24"/>
          <w:szCs w:val="24"/>
        </w:rPr>
        <w:t>基金合同</w:t>
      </w:r>
      <w:r>
        <w:rPr>
          <w:rFonts w:ascii="宋体" w:hAnsi="宋体" w:hint="eastAsia"/>
          <w:bCs/>
          <w:sz w:val="24"/>
          <w:szCs w:val="24"/>
        </w:rPr>
        <w:t>、《基金合同》</w:t>
      </w:r>
      <w:r>
        <w:rPr>
          <w:rFonts w:ascii="宋体" w:hAnsi="宋体"/>
          <w:bCs/>
          <w:sz w:val="24"/>
          <w:szCs w:val="24"/>
        </w:rPr>
        <w:t>或本基金合同：指《</w:t>
      </w:r>
      <w:r>
        <w:rPr>
          <w:rFonts w:ascii="宋体" w:hAnsi="宋体" w:hint="eastAsia"/>
          <w:bCs/>
          <w:sz w:val="24"/>
        </w:rPr>
        <w:t>银华中证有色金属交易型开放式指数证券投资基金联接基金</w:t>
      </w:r>
      <w:r>
        <w:rPr>
          <w:rFonts w:ascii="宋体" w:hAnsi="宋体"/>
          <w:bCs/>
          <w:sz w:val="24"/>
          <w:szCs w:val="24"/>
        </w:rPr>
        <w:t>基金合同》及对本基金合同的任何有效修订和补充</w:t>
      </w:r>
    </w:p>
    <w:p w14:paraId="117866BD"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w:t>
      </w:r>
      <w:r>
        <w:rPr>
          <w:rFonts w:ascii="宋体" w:hAnsi="宋体"/>
          <w:bCs/>
          <w:sz w:val="24"/>
          <w:szCs w:val="24"/>
        </w:rPr>
        <w:t>托管协议：指基金管理人与基金托管人就本基金签订之《</w:t>
      </w:r>
      <w:r>
        <w:rPr>
          <w:rFonts w:ascii="宋体" w:hAnsi="宋体" w:hint="eastAsia"/>
          <w:bCs/>
          <w:sz w:val="24"/>
          <w:szCs w:val="24"/>
        </w:rPr>
        <w:t>银华中证有色金属交易型开放式指数证券投资基金联接基金</w:t>
      </w:r>
      <w:r>
        <w:rPr>
          <w:rFonts w:ascii="宋体" w:hAnsi="宋体"/>
          <w:bCs/>
          <w:sz w:val="24"/>
          <w:szCs w:val="24"/>
        </w:rPr>
        <w:t>托管协议》及对该托管协议的任何有效修订和补充</w:t>
      </w:r>
    </w:p>
    <w:p w14:paraId="530A17A8"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w:t>
      </w:r>
      <w:r>
        <w:rPr>
          <w:rFonts w:ascii="宋体" w:hAnsi="宋体"/>
          <w:bCs/>
          <w:sz w:val="24"/>
          <w:szCs w:val="24"/>
        </w:rPr>
        <w:t>招募说明书：指《</w:t>
      </w:r>
      <w:r>
        <w:rPr>
          <w:rFonts w:ascii="宋体" w:hAnsi="宋体" w:hint="eastAsia"/>
          <w:bCs/>
          <w:sz w:val="24"/>
          <w:szCs w:val="24"/>
        </w:rPr>
        <w:t>银华中证有色金属交易型开放式指数证券投资基金联接基金</w:t>
      </w:r>
      <w:r>
        <w:rPr>
          <w:rFonts w:ascii="宋体" w:hAnsi="宋体"/>
          <w:bCs/>
          <w:sz w:val="24"/>
          <w:szCs w:val="24"/>
        </w:rPr>
        <w:t>招募说明书》及其更新</w:t>
      </w:r>
    </w:p>
    <w:p w14:paraId="453A6E4F"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7、基金产品资料概要：指《银华中证有色金属交易型开放式指数证券投资基金联接基金基金产品资料概要》及其更新</w:t>
      </w:r>
    </w:p>
    <w:p w14:paraId="6DA6A437"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8</w:t>
      </w:r>
      <w:r>
        <w:rPr>
          <w:rFonts w:ascii="宋体" w:hAnsi="宋体" w:hint="eastAsia"/>
          <w:bCs/>
          <w:sz w:val="24"/>
          <w:szCs w:val="24"/>
        </w:rPr>
        <w:t>、</w:t>
      </w:r>
      <w:r>
        <w:rPr>
          <w:rFonts w:ascii="宋体" w:hAnsi="宋体"/>
          <w:bCs/>
          <w:sz w:val="24"/>
          <w:szCs w:val="24"/>
        </w:rPr>
        <w:t>基金份额发售公告：指《</w:t>
      </w:r>
      <w:r>
        <w:rPr>
          <w:rFonts w:ascii="宋体" w:hAnsi="宋体" w:hint="eastAsia"/>
          <w:bCs/>
          <w:sz w:val="24"/>
          <w:szCs w:val="24"/>
        </w:rPr>
        <w:t>银华中证有色金属交易型开放式指数证券投资基金联接基金</w:t>
      </w:r>
      <w:r>
        <w:rPr>
          <w:rFonts w:ascii="宋体" w:hAnsi="宋体"/>
          <w:bCs/>
          <w:sz w:val="24"/>
          <w:szCs w:val="24"/>
        </w:rPr>
        <w:t>基金份额发售公告》</w:t>
      </w:r>
    </w:p>
    <w:p w14:paraId="2CF6B1D1"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w:t>
      </w:r>
      <w:r>
        <w:rPr>
          <w:rFonts w:ascii="宋体" w:hAnsi="宋体"/>
          <w:bCs/>
          <w:sz w:val="24"/>
          <w:szCs w:val="24"/>
        </w:rPr>
        <w:t>法律法规：</w:t>
      </w:r>
      <w:r>
        <w:rPr>
          <w:rFonts w:ascii="宋体" w:hAnsi="宋体" w:hint="eastAsia"/>
          <w:bCs/>
          <w:sz w:val="24"/>
          <w:szCs w:val="24"/>
        </w:rPr>
        <w:t>指中国现行有效并公布实施的法律、行政法规、规范性文件、司法解释、行政规章以及其他对基金合同当事人有约束力的决定、决议、通知等</w:t>
      </w:r>
    </w:p>
    <w:p w14:paraId="0F105EB1"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ascii="宋体" w:hAnsi="宋体" w:hint="eastAsia"/>
          <w:bCs/>
          <w:sz w:val="24"/>
          <w:szCs w:val="24"/>
        </w:rPr>
        <w:t>、</w:t>
      </w:r>
      <w:r>
        <w:rPr>
          <w:rFonts w:ascii="宋体" w:hAnsi="宋体"/>
          <w:bCs/>
          <w:sz w:val="24"/>
          <w:szCs w:val="24"/>
        </w:rPr>
        <w:t>《基金法》：</w:t>
      </w:r>
      <w:r>
        <w:rPr>
          <w:rFonts w:ascii="宋体" w:hAnsi="宋体" w:hint="eastAsia"/>
          <w:bCs/>
          <w:sz w:val="24"/>
          <w:szCs w:val="24"/>
        </w:rPr>
        <w:t>指2003年10月28日经第十届全国人民代表大会常务委员会第五次会议通过，经2012年12月28日第十一届全国人民代表大会常务委员会第三十次会议修订，自2013年6月1日起实施，并经2015年4月24日第十二届全国人民代表大会常务委员会第十四次会议《全国人民代表大会常务委员会关于修改&lt;中华人民共和国港口法&gt;等七部法律的决定》修正的《中华人民共和国证券投资基金法》及颁布机关对其不时做出的修订</w:t>
      </w:r>
    </w:p>
    <w:p w14:paraId="020D75E2"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11</w:t>
      </w:r>
      <w:r>
        <w:rPr>
          <w:rFonts w:ascii="宋体" w:hAnsi="宋体" w:hint="eastAsia"/>
          <w:bCs/>
          <w:sz w:val="24"/>
          <w:szCs w:val="24"/>
        </w:rPr>
        <w:t>、</w:t>
      </w:r>
      <w:r>
        <w:rPr>
          <w:rFonts w:ascii="宋体" w:hAnsi="宋体"/>
          <w:bCs/>
          <w:sz w:val="24"/>
          <w:szCs w:val="24"/>
        </w:rPr>
        <w:t>《销售办法》：指中国证监会2020年8月28日颁布、同年10月1日实施的《公开募集证券投资基金销售机构监督管理办法》及颁布机关对其不时做</w:t>
      </w:r>
      <w:r>
        <w:rPr>
          <w:rFonts w:ascii="宋体" w:hAnsi="宋体"/>
          <w:bCs/>
          <w:sz w:val="24"/>
          <w:szCs w:val="24"/>
        </w:rPr>
        <w:lastRenderedPageBreak/>
        <w:t>出的修订</w:t>
      </w:r>
    </w:p>
    <w:p w14:paraId="597020D0"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12</w:t>
      </w:r>
      <w:r>
        <w:rPr>
          <w:rFonts w:ascii="宋体" w:hAnsi="宋体" w:hint="eastAsia"/>
          <w:bCs/>
          <w:sz w:val="24"/>
          <w:szCs w:val="24"/>
        </w:rPr>
        <w:t>、</w:t>
      </w:r>
      <w:r>
        <w:rPr>
          <w:rFonts w:ascii="宋体" w:hAnsi="宋体"/>
          <w:bCs/>
          <w:sz w:val="24"/>
          <w:szCs w:val="24"/>
        </w:rPr>
        <w:t>《信息披露办法》：</w:t>
      </w:r>
      <w:r>
        <w:rPr>
          <w:rFonts w:hint="eastAsia"/>
          <w:sz w:val="24"/>
          <w:szCs w:val="24"/>
        </w:rPr>
        <w:t>指中国证监会</w:t>
      </w:r>
      <w:r>
        <w:rPr>
          <w:rFonts w:hint="eastAsia"/>
          <w:sz w:val="24"/>
          <w:szCs w:val="24"/>
        </w:rPr>
        <w:t>2019</w:t>
      </w:r>
      <w:r>
        <w:rPr>
          <w:rFonts w:hint="eastAsia"/>
          <w:sz w:val="24"/>
          <w:szCs w:val="24"/>
        </w:rPr>
        <w:t>年</w:t>
      </w:r>
      <w:r>
        <w:rPr>
          <w:rFonts w:hint="eastAsia"/>
          <w:sz w:val="24"/>
          <w:szCs w:val="24"/>
        </w:rPr>
        <w:t>7</w:t>
      </w:r>
      <w:r>
        <w:rPr>
          <w:rFonts w:hint="eastAsia"/>
          <w:sz w:val="24"/>
          <w:szCs w:val="24"/>
        </w:rPr>
        <w:t>月</w:t>
      </w:r>
      <w:r>
        <w:rPr>
          <w:rFonts w:hint="eastAsia"/>
          <w:sz w:val="24"/>
          <w:szCs w:val="24"/>
        </w:rPr>
        <w:t>26</w:t>
      </w:r>
      <w:r>
        <w:rPr>
          <w:rFonts w:hint="eastAsia"/>
          <w:sz w:val="24"/>
          <w:szCs w:val="24"/>
        </w:rPr>
        <w:t>日颁布、同年</w:t>
      </w:r>
      <w:r>
        <w:rPr>
          <w:rFonts w:hint="eastAsia"/>
          <w:sz w:val="24"/>
          <w:szCs w:val="24"/>
        </w:rPr>
        <w:t>9</w:t>
      </w:r>
      <w:r>
        <w:rPr>
          <w:rFonts w:hint="eastAsia"/>
          <w:sz w:val="24"/>
          <w:szCs w:val="24"/>
        </w:rPr>
        <w:t>月</w:t>
      </w:r>
      <w:r>
        <w:rPr>
          <w:rFonts w:hint="eastAsia"/>
          <w:sz w:val="24"/>
          <w:szCs w:val="24"/>
        </w:rPr>
        <w:t>1</w:t>
      </w:r>
      <w:r>
        <w:rPr>
          <w:rFonts w:hint="eastAsia"/>
          <w:sz w:val="24"/>
          <w:szCs w:val="24"/>
        </w:rPr>
        <w:t>日实施的</w:t>
      </w:r>
      <w:r>
        <w:rPr>
          <w:rFonts w:hint="eastAsia"/>
          <w:bCs/>
          <w:sz w:val="24"/>
          <w:szCs w:val="24"/>
        </w:rPr>
        <w:t>，并经</w:t>
      </w:r>
      <w:r>
        <w:rPr>
          <w:rFonts w:hint="eastAsia"/>
          <w:bCs/>
          <w:sz w:val="24"/>
          <w:szCs w:val="24"/>
        </w:rPr>
        <w:t>2020</w:t>
      </w:r>
      <w:r>
        <w:rPr>
          <w:rFonts w:hint="eastAsia"/>
          <w:bCs/>
          <w:sz w:val="24"/>
          <w:szCs w:val="24"/>
        </w:rPr>
        <w:t>年</w:t>
      </w:r>
      <w:r>
        <w:rPr>
          <w:rFonts w:hint="eastAsia"/>
          <w:bCs/>
          <w:sz w:val="24"/>
          <w:szCs w:val="24"/>
        </w:rPr>
        <w:t>3</w:t>
      </w:r>
      <w:r>
        <w:rPr>
          <w:rFonts w:hint="eastAsia"/>
          <w:bCs/>
          <w:sz w:val="24"/>
          <w:szCs w:val="24"/>
        </w:rPr>
        <w:t>月</w:t>
      </w:r>
      <w:r>
        <w:rPr>
          <w:rFonts w:hint="eastAsia"/>
          <w:bCs/>
          <w:sz w:val="24"/>
          <w:szCs w:val="24"/>
        </w:rPr>
        <w:t>20</w:t>
      </w:r>
      <w:r>
        <w:rPr>
          <w:rFonts w:hint="eastAsia"/>
          <w:bCs/>
          <w:sz w:val="24"/>
          <w:szCs w:val="24"/>
        </w:rPr>
        <w:t>日中国证监会《关于修改部分证券期货规章的决定》修正的</w:t>
      </w:r>
      <w:r>
        <w:rPr>
          <w:rFonts w:hint="eastAsia"/>
          <w:sz w:val="24"/>
          <w:szCs w:val="24"/>
        </w:rPr>
        <w:t>《公开募集证券投资基金信息披露管理办法》及颁布机关对其不时做出的修订</w:t>
      </w:r>
    </w:p>
    <w:p w14:paraId="3DA7B0DE"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13</w:t>
      </w:r>
      <w:r>
        <w:rPr>
          <w:rFonts w:ascii="宋体" w:hAnsi="宋体" w:hint="eastAsia"/>
          <w:bCs/>
          <w:sz w:val="24"/>
          <w:szCs w:val="24"/>
        </w:rPr>
        <w:t>、</w:t>
      </w:r>
      <w:r>
        <w:rPr>
          <w:rFonts w:ascii="宋体" w:hAnsi="宋体"/>
          <w:bCs/>
          <w:sz w:val="24"/>
          <w:szCs w:val="24"/>
        </w:rPr>
        <w:t>《运作办法》：</w:t>
      </w:r>
      <w:r>
        <w:rPr>
          <w:rFonts w:ascii="宋体" w:hAnsi="宋体" w:hint="eastAsia"/>
          <w:bCs/>
          <w:sz w:val="24"/>
          <w:szCs w:val="24"/>
        </w:rPr>
        <w:t>指中国证监会2014年7月7日颁布、同年8月8日实施的《公开募集证券投资基金运作管理办法》及颁布机关对其不时做出的修订</w:t>
      </w:r>
    </w:p>
    <w:p w14:paraId="6539154E"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4</w:t>
      </w:r>
      <w:r>
        <w:rPr>
          <w:rFonts w:ascii="宋体" w:hAnsi="宋体" w:hint="eastAsia"/>
          <w:bCs/>
          <w:sz w:val="24"/>
          <w:szCs w:val="24"/>
        </w:rPr>
        <w:t>、《流动性风险管理规定》：指中国证监会2017年8月31日颁布、同年10月1日实施的《公开募集开放式证券投资基金流动性风险管理规定》及颁布机关对其不时做出的修订</w:t>
      </w:r>
    </w:p>
    <w:p w14:paraId="59F33750"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5、</w:t>
      </w:r>
      <w:r>
        <w:rPr>
          <w:rFonts w:ascii="宋体" w:hAnsi="宋体" w:hint="eastAsia"/>
          <w:bCs/>
          <w:sz w:val="24"/>
          <w:szCs w:val="24"/>
        </w:rPr>
        <w:t>《指数基金指引》：指中国证监会2021年1月18日颁布、同年2月1日实施的《公开募集证券投资基金运作指引第3号——指数基金指引》及颁布机关对其不时做出的修订</w:t>
      </w:r>
    </w:p>
    <w:p w14:paraId="629DDA11"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6、标的指数：中证指数有限公司</w:t>
      </w:r>
      <w:r>
        <w:rPr>
          <w:rFonts w:ascii="宋体" w:hAnsi="宋体" w:hint="eastAsia"/>
          <w:bCs/>
          <w:sz w:val="24"/>
          <w:szCs w:val="24"/>
        </w:rPr>
        <w:t>编制并发布的中证有色金属指数</w:t>
      </w:r>
    </w:p>
    <w:p w14:paraId="5CC3AE7E"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17</w:t>
      </w:r>
      <w:r>
        <w:rPr>
          <w:rFonts w:ascii="宋体" w:hAnsi="宋体" w:hint="eastAsia"/>
          <w:bCs/>
          <w:sz w:val="24"/>
          <w:szCs w:val="24"/>
        </w:rPr>
        <w:t>、</w:t>
      </w:r>
      <w:r>
        <w:rPr>
          <w:rFonts w:ascii="宋体" w:hAnsi="宋体"/>
          <w:bCs/>
          <w:sz w:val="24"/>
          <w:szCs w:val="24"/>
        </w:rPr>
        <w:t>中国证监会：指中国证券监督管理委员会</w:t>
      </w:r>
    </w:p>
    <w:p w14:paraId="5A09FC53"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18</w:t>
      </w:r>
      <w:r>
        <w:rPr>
          <w:rFonts w:ascii="宋体" w:hAnsi="宋体" w:hint="eastAsia"/>
          <w:bCs/>
          <w:sz w:val="24"/>
          <w:szCs w:val="24"/>
        </w:rPr>
        <w:t>、</w:t>
      </w:r>
      <w:r>
        <w:rPr>
          <w:rFonts w:ascii="宋体" w:hAnsi="宋体"/>
          <w:bCs/>
          <w:sz w:val="24"/>
          <w:szCs w:val="24"/>
        </w:rPr>
        <w:t>银行业监督管理机构：指中国人民银行和/或</w:t>
      </w:r>
      <w:r>
        <w:rPr>
          <w:rFonts w:ascii="宋体" w:hAnsi="宋体" w:cs="宋体" w:hint="eastAsia"/>
          <w:bCs/>
          <w:sz w:val="24"/>
          <w:szCs w:val="24"/>
        </w:rPr>
        <w:t>国家金融监督管理总局</w:t>
      </w:r>
      <w:r>
        <w:rPr>
          <w:rFonts w:ascii="宋体" w:hAnsi="宋体" w:hint="eastAsia"/>
          <w:bCs/>
          <w:sz w:val="24"/>
          <w:szCs w:val="24"/>
        </w:rPr>
        <w:t>或其他经国务院授权的机构</w:t>
      </w:r>
    </w:p>
    <w:p w14:paraId="4C21F337"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19</w:t>
      </w:r>
      <w:r>
        <w:rPr>
          <w:rFonts w:ascii="宋体" w:hAnsi="宋体" w:hint="eastAsia"/>
          <w:bCs/>
          <w:sz w:val="24"/>
          <w:szCs w:val="24"/>
        </w:rPr>
        <w:t>、</w:t>
      </w:r>
      <w:r>
        <w:rPr>
          <w:rFonts w:ascii="宋体" w:hAnsi="宋体"/>
          <w:bCs/>
          <w:sz w:val="24"/>
          <w:szCs w:val="24"/>
        </w:rPr>
        <w:t>基金合同当事人：指受基金合同约束，根据基金合同享有权利并承担义务的法律主体，包括基金管理人、基金托管人和基金份额持有人</w:t>
      </w:r>
    </w:p>
    <w:p w14:paraId="4D7C5082"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20</w:t>
      </w:r>
      <w:r>
        <w:rPr>
          <w:rFonts w:ascii="宋体" w:hAnsi="宋体" w:hint="eastAsia"/>
          <w:bCs/>
          <w:sz w:val="24"/>
          <w:szCs w:val="24"/>
        </w:rPr>
        <w:t>、</w:t>
      </w:r>
      <w:r>
        <w:rPr>
          <w:rFonts w:ascii="宋体" w:hAnsi="宋体"/>
          <w:bCs/>
          <w:sz w:val="24"/>
          <w:szCs w:val="24"/>
        </w:rPr>
        <w:t>个人投资者：指依据有关法律法规规定可投资于证券投资基金的自然人</w:t>
      </w:r>
    </w:p>
    <w:p w14:paraId="352968AA"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21</w:t>
      </w:r>
      <w:r>
        <w:rPr>
          <w:rFonts w:ascii="宋体" w:hAnsi="宋体" w:hint="eastAsia"/>
          <w:bCs/>
          <w:sz w:val="24"/>
          <w:szCs w:val="24"/>
        </w:rPr>
        <w:t>、</w:t>
      </w:r>
      <w:r>
        <w:rPr>
          <w:rFonts w:ascii="宋体" w:hAnsi="宋体"/>
          <w:bCs/>
          <w:sz w:val="24"/>
          <w:szCs w:val="24"/>
        </w:rPr>
        <w:t>机构投资者：指依法可以投资证券投资基金的、在中华人民共和国境内合法登记并存续或经有关政府部门批准设立并存续的企业法人、事业法人、社会团体或其他组织</w:t>
      </w:r>
    </w:p>
    <w:p w14:paraId="10A108A5"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22</w:t>
      </w:r>
      <w:r>
        <w:rPr>
          <w:rFonts w:ascii="宋体" w:hAnsi="宋体" w:hint="eastAsia"/>
          <w:bCs/>
          <w:sz w:val="24"/>
          <w:szCs w:val="24"/>
        </w:rPr>
        <w:t>、合格境外投资者：指符合《合格境外机构投资者和人民币合格境外机构投资者境内证券期货投资管理办法》（包括其不时修订）及相关法律法规规定，经中国证监会批准，使用来自境外的资金进行境内证券期货投资的境外机构投资者，包括合格境外机构投资者和人民币合格境外机构投资者</w:t>
      </w:r>
    </w:p>
    <w:p w14:paraId="0CD54EFA"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23</w:t>
      </w:r>
      <w:r>
        <w:rPr>
          <w:rFonts w:ascii="宋体" w:hAnsi="宋体" w:hint="eastAsia"/>
          <w:bCs/>
          <w:sz w:val="24"/>
          <w:szCs w:val="24"/>
        </w:rPr>
        <w:t>、</w:t>
      </w:r>
      <w:r>
        <w:rPr>
          <w:rFonts w:ascii="宋体" w:hAnsi="宋体"/>
          <w:bCs/>
          <w:sz w:val="24"/>
          <w:szCs w:val="24"/>
        </w:rPr>
        <w:t>投资人</w:t>
      </w:r>
      <w:r>
        <w:rPr>
          <w:rFonts w:ascii="宋体" w:hAnsi="宋体" w:hint="eastAsia"/>
          <w:bCs/>
          <w:sz w:val="24"/>
          <w:szCs w:val="24"/>
        </w:rPr>
        <w:t>、投资者</w:t>
      </w:r>
      <w:r>
        <w:rPr>
          <w:rFonts w:ascii="宋体" w:hAnsi="宋体"/>
          <w:bCs/>
          <w:sz w:val="24"/>
          <w:szCs w:val="24"/>
        </w:rPr>
        <w:t>：</w:t>
      </w:r>
      <w:r>
        <w:rPr>
          <w:rFonts w:ascii="宋体" w:hAnsi="宋体" w:hint="eastAsia"/>
          <w:bCs/>
          <w:sz w:val="24"/>
          <w:szCs w:val="24"/>
        </w:rPr>
        <w:t>指个人投资者、机构投资者、合格境外投资者以及法律法规或中国证监会允许购买证券投资基金的其他投资人的合称</w:t>
      </w:r>
    </w:p>
    <w:p w14:paraId="6E4386AA"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24</w:t>
      </w:r>
      <w:r>
        <w:rPr>
          <w:rFonts w:ascii="宋体" w:hAnsi="宋体" w:hint="eastAsia"/>
          <w:bCs/>
          <w:sz w:val="24"/>
          <w:szCs w:val="24"/>
        </w:rPr>
        <w:t>、</w:t>
      </w:r>
      <w:r>
        <w:rPr>
          <w:rFonts w:ascii="宋体" w:hAnsi="宋体"/>
          <w:bCs/>
          <w:sz w:val="24"/>
          <w:szCs w:val="24"/>
        </w:rPr>
        <w:t>基金份额持有人：指依基金合同和招募说明书合法取得</w:t>
      </w:r>
      <w:r>
        <w:rPr>
          <w:rFonts w:ascii="宋体" w:hAnsi="宋体" w:hint="eastAsia"/>
          <w:bCs/>
          <w:sz w:val="24"/>
          <w:szCs w:val="24"/>
        </w:rPr>
        <w:t>本</w:t>
      </w:r>
      <w:proofErr w:type="gramStart"/>
      <w:r>
        <w:rPr>
          <w:rFonts w:ascii="宋体" w:hAnsi="宋体" w:hint="eastAsia"/>
          <w:bCs/>
          <w:sz w:val="24"/>
          <w:szCs w:val="24"/>
        </w:rPr>
        <w:t>基金</w:t>
      </w:r>
      <w:r>
        <w:rPr>
          <w:rFonts w:ascii="宋体" w:hAnsi="宋体"/>
          <w:bCs/>
          <w:sz w:val="24"/>
          <w:szCs w:val="24"/>
        </w:rPr>
        <w:t>基金</w:t>
      </w:r>
      <w:proofErr w:type="gramEnd"/>
      <w:r>
        <w:rPr>
          <w:rFonts w:ascii="宋体" w:hAnsi="宋体"/>
          <w:bCs/>
          <w:sz w:val="24"/>
          <w:szCs w:val="24"/>
        </w:rPr>
        <w:t>份额</w:t>
      </w:r>
      <w:r>
        <w:rPr>
          <w:rFonts w:ascii="宋体" w:hAnsi="宋体"/>
          <w:bCs/>
          <w:sz w:val="24"/>
          <w:szCs w:val="24"/>
        </w:rPr>
        <w:lastRenderedPageBreak/>
        <w:t>的投资人</w:t>
      </w:r>
    </w:p>
    <w:p w14:paraId="2F920A4A" w14:textId="0EC5D5F6"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25</w:t>
      </w:r>
      <w:r>
        <w:rPr>
          <w:rFonts w:ascii="宋体" w:hAnsi="宋体" w:hint="eastAsia"/>
          <w:bCs/>
          <w:sz w:val="24"/>
          <w:szCs w:val="24"/>
        </w:rPr>
        <w:t>、</w:t>
      </w:r>
      <w:r>
        <w:rPr>
          <w:rFonts w:ascii="宋体" w:hAnsi="宋体"/>
          <w:bCs/>
          <w:sz w:val="24"/>
          <w:szCs w:val="24"/>
        </w:rPr>
        <w:t>基金销售业务：指基金管理人</w:t>
      </w:r>
      <w:r w:rsidR="009D2C38">
        <w:rPr>
          <w:rFonts w:ascii="宋体" w:hAnsi="宋体" w:hint="eastAsia"/>
          <w:bCs/>
          <w:sz w:val="24"/>
          <w:szCs w:val="24"/>
        </w:rPr>
        <w:t>、</w:t>
      </w:r>
      <w:r w:rsidR="009D2C38">
        <w:rPr>
          <w:rFonts w:ascii="宋体" w:hAnsi="宋体"/>
          <w:bCs/>
          <w:sz w:val="24"/>
          <w:szCs w:val="24"/>
        </w:rPr>
        <w:t>其他</w:t>
      </w:r>
      <w:r>
        <w:rPr>
          <w:rFonts w:ascii="宋体" w:hAnsi="宋体"/>
          <w:bCs/>
          <w:sz w:val="24"/>
          <w:szCs w:val="24"/>
        </w:rPr>
        <w:t>销售机构宣传推介基金，发售基金份额，办理基金份额的申购、赎回、转换、转托管</w:t>
      </w:r>
      <w:r>
        <w:rPr>
          <w:rFonts w:ascii="宋体" w:hAnsi="宋体" w:hint="eastAsia"/>
          <w:bCs/>
          <w:sz w:val="24"/>
          <w:szCs w:val="24"/>
        </w:rPr>
        <w:t>及</w:t>
      </w:r>
      <w:r>
        <w:rPr>
          <w:rFonts w:ascii="宋体" w:hAnsi="宋体"/>
          <w:bCs/>
          <w:sz w:val="24"/>
          <w:szCs w:val="24"/>
        </w:rPr>
        <w:t>定期定额投资等业务</w:t>
      </w:r>
    </w:p>
    <w:p w14:paraId="10A18D55"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26</w:t>
      </w:r>
      <w:r>
        <w:rPr>
          <w:rFonts w:ascii="宋体" w:hAnsi="宋体" w:hint="eastAsia"/>
          <w:bCs/>
          <w:sz w:val="24"/>
          <w:szCs w:val="24"/>
        </w:rPr>
        <w:t>、发售：指在本基金募集期内，销售机构向投资人销售本</w:t>
      </w:r>
      <w:proofErr w:type="gramStart"/>
      <w:r>
        <w:rPr>
          <w:rFonts w:ascii="宋体" w:hAnsi="宋体" w:hint="eastAsia"/>
          <w:bCs/>
          <w:sz w:val="24"/>
          <w:szCs w:val="24"/>
        </w:rPr>
        <w:t>基金基金</w:t>
      </w:r>
      <w:proofErr w:type="gramEnd"/>
      <w:r>
        <w:rPr>
          <w:rFonts w:ascii="宋体" w:hAnsi="宋体" w:hint="eastAsia"/>
          <w:bCs/>
          <w:sz w:val="24"/>
          <w:szCs w:val="24"/>
        </w:rPr>
        <w:t>份额的行为</w:t>
      </w:r>
    </w:p>
    <w:p w14:paraId="20B79E31" w14:textId="77AC7FFD"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27</w:t>
      </w:r>
      <w:r>
        <w:rPr>
          <w:rFonts w:ascii="宋体" w:hAnsi="宋体" w:hint="eastAsia"/>
          <w:bCs/>
          <w:sz w:val="24"/>
          <w:szCs w:val="24"/>
        </w:rPr>
        <w:t>、</w:t>
      </w:r>
      <w:r>
        <w:rPr>
          <w:rFonts w:ascii="宋体" w:hAnsi="宋体"/>
          <w:bCs/>
          <w:sz w:val="24"/>
          <w:szCs w:val="24"/>
        </w:rPr>
        <w:t>销售机构：</w:t>
      </w:r>
      <w:r>
        <w:rPr>
          <w:rFonts w:ascii="宋体" w:hAnsi="宋体" w:hint="eastAsia"/>
          <w:bCs/>
          <w:sz w:val="24"/>
          <w:szCs w:val="24"/>
        </w:rPr>
        <w:t>指</w:t>
      </w:r>
      <w:r w:rsidR="009D2C38">
        <w:rPr>
          <w:rFonts w:ascii="宋体" w:hAnsi="宋体" w:hint="eastAsia"/>
          <w:bCs/>
          <w:sz w:val="24"/>
          <w:szCs w:val="24"/>
        </w:rPr>
        <w:t>基金管理人</w:t>
      </w:r>
      <w:r>
        <w:rPr>
          <w:rFonts w:ascii="宋体" w:hAnsi="宋体" w:hint="eastAsia"/>
          <w:bCs/>
          <w:sz w:val="24"/>
          <w:szCs w:val="24"/>
        </w:rPr>
        <w:t>以及符合《销售办法》和中国证监会规定的其他条件，取得基金销售业务资格并与基金管理人签订了基金销售服务协议，办理基金销售业务的其他机构</w:t>
      </w:r>
    </w:p>
    <w:p w14:paraId="3F3C8D00"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8</w:t>
      </w:r>
      <w:r>
        <w:rPr>
          <w:rFonts w:ascii="宋体" w:hAnsi="宋体" w:hint="eastAsia"/>
          <w:bCs/>
          <w:sz w:val="24"/>
          <w:szCs w:val="24"/>
        </w:rPr>
        <w:t>、基金销售网点：指销售机构的销售网点</w:t>
      </w:r>
    </w:p>
    <w:p w14:paraId="10FA129E"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29</w:t>
      </w:r>
      <w:r>
        <w:rPr>
          <w:rFonts w:ascii="宋体" w:hAnsi="宋体" w:hint="eastAsia"/>
          <w:bCs/>
          <w:sz w:val="24"/>
          <w:szCs w:val="24"/>
        </w:rPr>
        <w:t>、</w:t>
      </w:r>
      <w:r>
        <w:rPr>
          <w:rFonts w:ascii="宋体" w:hAnsi="宋体"/>
          <w:bCs/>
          <w:sz w:val="24"/>
          <w:szCs w:val="24"/>
        </w:rPr>
        <w:t>登记业务：指基金登记、存管、过户、清算和结算业务，具体内容包括投资人基金账户的建立和管理、基金份额登记、基金销售业务的确认、清算和结算、代理发放红利、建立并保管基金份额持有人名册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sz w:val="24"/>
          <w:szCs w:val="24"/>
        </w:rPr>
        <w:t>和办理</w:t>
      </w:r>
      <w:proofErr w:type="gramStart"/>
      <w:r>
        <w:rPr>
          <w:rFonts w:ascii="宋体" w:hAnsi="宋体" w:hint="eastAsia"/>
          <w:bCs/>
          <w:sz w:val="24"/>
          <w:szCs w:val="24"/>
        </w:rPr>
        <w:t>非交易</w:t>
      </w:r>
      <w:proofErr w:type="gramEnd"/>
      <w:r>
        <w:rPr>
          <w:rFonts w:ascii="宋体" w:hAnsi="宋体" w:hint="eastAsia"/>
          <w:bCs/>
          <w:sz w:val="24"/>
          <w:szCs w:val="24"/>
        </w:rPr>
        <w:t>过户</w:t>
      </w:r>
      <w:r>
        <w:rPr>
          <w:rFonts w:ascii="宋体" w:hAnsi="宋体"/>
          <w:bCs/>
          <w:sz w:val="24"/>
          <w:szCs w:val="24"/>
        </w:rPr>
        <w:t>等</w:t>
      </w:r>
    </w:p>
    <w:p w14:paraId="64A8F42A"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30</w:t>
      </w:r>
      <w:r>
        <w:rPr>
          <w:rFonts w:ascii="宋体" w:hAnsi="宋体" w:hint="eastAsia"/>
          <w:bCs/>
          <w:sz w:val="24"/>
          <w:szCs w:val="24"/>
        </w:rPr>
        <w:t>、</w:t>
      </w:r>
      <w:r>
        <w:rPr>
          <w:rFonts w:ascii="宋体" w:hAnsi="宋体"/>
          <w:bCs/>
          <w:sz w:val="24"/>
          <w:szCs w:val="24"/>
        </w:rPr>
        <w:t>登记机构：</w:t>
      </w:r>
      <w:proofErr w:type="gramStart"/>
      <w:r>
        <w:rPr>
          <w:rFonts w:ascii="宋体" w:hAnsi="宋体" w:hint="eastAsia"/>
          <w:bCs/>
          <w:sz w:val="24"/>
          <w:szCs w:val="24"/>
        </w:rPr>
        <w:t>指办理</w:t>
      </w:r>
      <w:proofErr w:type="gramEnd"/>
      <w:r>
        <w:rPr>
          <w:rFonts w:ascii="宋体" w:hAnsi="宋体" w:hint="eastAsia"/>
          <w:bCs/>
          <w:sz w:val="24"/>
          <w:szCs w:val="24"/>
        </w:rPr>
        <w:t>登记业务的机构。本基金的登记机构为银华基金管理股份有限公司或接受银华基金管理股份有限公司委托代为办理登记业务的机构</w:t>
      </w:r>
    </w:p>
    <w:p w14:paraId="40ABD503"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31</w:t>
      </w:r>
      <w:r>
        <w:rPr>
          <w:rFonts w:ascii="宋体" w:hAnsi="宋体" w:hint="eastAsia"/>
          <w:bCs/>
          <w:sz w:val="24"/>
          <w:szCs w:val="24"/>
        </w:rPr>
        <w:t>、</w:t>
      </w:r>
      <w:r>
        <w:rPr>
          <w:rFonts w:ascii="宋体" w:hAnsi="宋体"/>
          <w:bCs/>
          <w:sz w:val="24"/>
          <w:szCs w:val="24"/>
        </w:rPr>
        <w:t>基金账户：指登记机构为投资人开立的、记录其持有的、基金管理人所管理的基金份额余额及其变动情况的账户</w:t>
      </w:r>
    </w:p>
    <w:p w14:paraId="1B17A132"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32</w:t>
      </w:r>
      <w:r>
        <w:rPr>
          <w:rFonts w:ascii="宋体" w:hAnsi="宋体" w:hint="eastAsia"/>
          <w:bCs/>
          <w:sz w:val="24"/>
          <w:szCs w:val="24"/>
        </w:rPr>
        <w:t>、</w:t>
      </w:r>
      <w:r>
        <w:rPr>
          <w:rFonts w:ascii="宋体" w:hAnsi="宋体"/>
          <w:bCs/>
          <w:sz w:val="24"/>
          <w:szCs w:val="24"/>
        </w:rPr>
        <w:t>基金交易账户：指销售机构为投资人开立的、记录投资人通过该销售机构</w:t>
      </w:r>
      <w:r>
        <w:rPr>
          <w:rFonts w:ascii="宋体" w:hAnsi="宋体" w:hint="eastAsia"/>
          <w:bCs/>
          <w:sz w:val="24"/>
          <w:szCs w:val="24"/>
        </w:rPr>
        <w:t>办理认购、申购、赎回、转换、转托管及</w:t>
      </w:r>
      <w:r>
        <w:rPr>
          <w:rFonts w:ascii="宋体" w:hAnsi="宋体"/>
          <w:bCs/>
          <w:sz w:val="24"/>
          <w:szCs w:val="24"/>
        </w:rPr>
        <w:t>定期定额投资</w:t>
      </w:r>
      <w:r>
        <w:rPr>
          <w:rFonts w:ascii="宋体" w:hAnsi="宋体" w:hint="eastAsia"/>
          <w:bCs/>
          <w:sz w:val="24"/>
          <w:szCs w:val="24"/>
        </w:rPr>
        <w:t>等业务而引起的</w:t>
      </w:r>
      <w:r>
        <w:rPr>
          <w:rFonts w:ascii="宋体" w:hAnsi="宋体"/>
          <w:bCs/>
          <w:sz w:val="24"/>
          <w:szCs w:val="24"/>
        </w:rPr>
        <w:t>基金份额变动及结余情况的账户</w:t>
      </w:r>
    </w:p>
    <w:p w14:paraId="748FAB1E"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33</w:t>
      </w:r>
      <w:r>
        <w:rPr>
          <w:rFonts w:ascii="宋体" w:hAnsi="宋体" w:hint="eastAsia"/>
          <w:bCs/>
          <w:sz w:val="24"/>
          <w:szCs w:val="24"/>
        </w:rPr>
        <w:t>、</w:t>
      </w:r>
      <w:r>
        <w:rPr>
          <w:rFonts w:ascii="宋体" w:hAnsi="宋体"/>
          <w:bCs/>
          <w:sz w:val="24"/>
          <w:szCs w:val="24"/>
        </w:rPr>
        <w:t>基金合同生效日：指基金募集达到法律法规规定及基金合同规定的条件，基金管理人向中国证监会办理基金备案手续完毕，并获得中国证监会书面确认</w:t>
      </w:r>
      <w:r>
        <w:rPr>
          <w:rFonts w:ascii="宋体" w:hAnsi="宋体" w:hint="eastAsia"/>
          <w:bCs/>
          <w:sz w:val="24"/>
          <w:szCs w:val="24"/>
        </w:rPr>
        <w:t>的日期</w:t>
      </w:r>
    </w:p>
    <w:p w14:paraId="46A48154"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34</w:t>
      </w:r>
      <w:r>
        <w:rPr>
          <w:rFonts w:ascii="宋体" w:hAnsi="宋体" w:hint="eastAsia"/>
          <w:bCs/>
          <w:sz w:val="24"/>
          <w:szCs w:val="24"/>
        </w:rPr>
        <w:t>、</w:t>
      </w:r>
      <w:r>
        <w:rPr>
          <w:rFonts w:ascii="宋体" w:hAnsi="宋体"/>
          <w:bCs/>
          <w:sz w:val="24"/>
          <w:szCs w:val="24"/>
        </w:rPr>
        <w:t>基金合同终止日：指基金合同规定的基金合同终止事由出现后，基金财产清算完毕，清算</w:t>
      </w:r>
      <w:r>
        <w:rPr>
          <w:rFonts w:ascii="宋体" w:hAnsi="宋体" w:hint="eastAsia"/>
          <w:bCs/>
          <w:sz w:val="24"/>
          <w:szCs w:val="24"/>
        </w:rPr>
        <w:t>结果</w:t>
      </w:r>
      <w:r>
        <w:rPr>
          <w:rFonts w:ascii="宋体" w:hAnsi="宋体"/>
          <w:bCs/>
          <w:sz w:val="24"/>
          <w:szCs w:val="24"/>
        </w:rPr>
        <w:t>报中国证监会备案并予以公告</w:t>
      </w:r>
      <w:r>
        <w:rPr>
          <w:rFonts w:ascii="宋体" w:hAnsi="宋体" w:hint="eastAsia"/>
          <w:bCs/>
          <w:sz w:val="24"/>
          <w:szCs w:val="24"/>
        </w:rPr>
        <w:t>的日期</w:t>
      </w:r>
    </w:p>
    <w:p w14:paraId="30024EDB"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35</w:t>
      </w:r>
      <w:r>
        <w:rPr>
          <w:rFonts w:ascii="宋体" w:hAnsi="宋体" w:hint="eastAsia"/>
          <w:bCs/>
          <w:sz w:val="24"/>
          <w:szCs w:val="24"/>
        </w:rPr>
        <w:t>、</w:t>
      </w:r>
      <w:r>
        <w:rPr>
          <w:rFonts w:ascii="宋体" w:hAnsi="宋体"/>
          <w:bCs/>
          <w:sz w:val="24"/>
          <w:szCs w:val="24"/>
        </w:rPr>
        <w:t>基金募集期：指自基金份额发售之日起至发售结束之日止的期间，最长不得超过</w:t>
      </w:r>
      <w:r>
        <w:rPr>
          <w:rFonts w:ascii="宋体" w:hAnsi="宋体" w:hint="eastAsia"/>
          <w:bCs/>
          <w:sz w:val="24"/>
          <w:szCs w:val="24"/>
        </w:rPr>
        <w:t>3</w:t>
      </w:r>
      <w:r>
        <w:rPr>
          <w:rFonts w:ascii="宋体" w:hAnsi="宋体"/>
          <w:bCs/>
          <w:sz w:val="24"/>
          <w:szCs w:val="24"/>
        </w:rPr>
        <w:t>个月</w:t>
      </w:r>
    </w:p>
    <w:p w14:paraId="6397EB24"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36</w:t>
      </w:r>
      <w:r>
        <w:rPr>
          <w:rFonts w:ascii="宋体" w:hAnsi="宋体" w:hint="eastAsia"/>
          <w:bCs/>
          <w:sz w:val="24"/>
          <w:szCs w:val="24"/>
        </w:rPr>
        <w:t>、</w:t>
      </w:r>
      <w:r>
        <w:rPr>
          <w:rFonts w:ascii="宋体" w:hAnsi="宋体"/>
          <w:bCs/>
          <w:sz w:val="24"/>
          <w:szCs w:val="24"/>
        </w:rPr>
        <w:t>存续期：指基金合同生效</w:t>
      </w:r>
      <w:r>
        <w:rPr>
          <w:rFonts w:ascii="宋体" w:hAnsi="宋体" w:hint="eastAsia"/>
          <w:bCs/>
          <w:sz w:val="24"/>
          <w:szCs w:val="24"/>
        </w:rPr>
        <w:t>至终止之间</w:t>
      </w:r>
      <w:r>
        <w:rPr>
          <w:rFonts w:ascii="宋体" w:hAnsi="宋体"/>
          <w:bCs/>
          <w:sz w:val="24"/>
          <w:szCs w:val="24"/>
        </w:rPr>
        <w:t>的不定期</w:t>
      </w:r>
      <w:r>
        <w:rPr>
          <w:rFonts w:ascii="宋体" w:hAnsi="宋体" w:hint="eastAsia"/>
          <w:bCs/>
          <w:sz w:val="24"/>
          <w:szCs w:val="24"/>
        </w:rPr>
        <w:t>期限</w:t>
      </w:r>
    </w:p>
    <w:p w14:paraId="5624BE23"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37</w:t>
      </w:r>
      <w:r>
        <w:rPr>
          <w:rFonts w:ascii="宋体" w:hAnsi="宋体" w:hint="eastAsia"/>
          <w:bCs/>
          <w:sz w:val="24"/>
          <w:szCs w:val="24"/>
        </w:rPr>
        <w:t>、</w:t>
      </w:r>
      <w:r>
        <w:rPr>
          <w:rFonts w:ascii="宋体" w:hAnsi="宋体"/>
          <w:bCs/>
          <w:sz w:val="24"/>
          <w:szCs w:val="24"/>
        </w:rPr>
        <w:t>工作日：指上海证券交易所、深圳证券交易所的正常交易日</w:t>
      </w:r>
    </w:p>
    <w:p w14:paraId="5A9F1A6E"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38</w:t>
      </w:r>
      <w:r>
        <w:rPr>
          <w:rFonts w:ascii="宋体" w:hAnsi="宋体" w:hint="eastAsia"/>
          <w:bCs/>
          <w:sz w:val="24"/>
          <w:szCs w:val="24"/>
        </w:rPr>
        <w:t>、</w:t>
      </w:r>
      <w:r>
        <w:rPr>
          <w:rFonts w:ascii="宋体" w:hAnsi="宋体"/>
          <w:bCs/>
          <w:sz w:val="24"/>
          <w:szCs w:val="24"/>
        </w:rPr>
        <w:t>T日：指销售机构在规定时间受理投资人申购、赎回或其他业务申请的</w:t>
      </w:r>
      <w:r>
        <w:rPr>
          <w:rFonts w:ascii="宋体" w:hAnsi="宋体" w:hint="eastAsia"/>
          <w:bCs/>
          <w:sz w:val="24"/>
          <w:szCs w:val="24"/>
        </w:rPr>
        <w:t>开放日</w:t>
      </w:r>
    </w:p>
    <w:p w14:paraId="24C5E65F"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39</w:t>
      </w:r>
      <w:r>
        <w:rPr>
          <w:rFonts w:ascii="宋体" w:hAnsi="宋体" w:hint="eastAsia"/>
          <w:bCs/>
          <w:sz w:val="24"/>
          <w:szCs w:val="24"/>
        </w:rPr>
        <w:t>、</w:t>
      </w:r>
      <w:r>
        <w:rPr>
          <w:rFonts w:ascii="宋体" w:hAnsi="宋体"/>
          <w:bCs/>
          <w:sz w:val="24"/>
          <w:szCs w:val="24"/>
        </w:rPr>
        <w:t>T+n日：指自T日起第n</w:t>
      </w:r>
      <w:proofErr w:type="gramStart"/>
      <w:r>
        <w:rPr>
          <w:rFonts w:ascii="宋体" w:hAnsi="宋体"/>
          <w:bCs/>
          <w:sz w:val="24"/>
          <w:szCs w:val="24"/>
        </w:rPr>
        <w:t>个</w:t>
      </w:r>
      <w:proofErr w:type="gramEnd"/>
      <w:r>
        <w:rPr>
          <w:rFonts w:ascii="宋体" w:hAnsi="宋体"/>
          <w:bCs/>
          <w:sz w:val="24"/>
          <w:szCs w:val="24"/>
        </w:rPr>
        <w:t>工作日（不包含T日）</w:t>
      </w:r>
      <w:r>
        <w:rPr>
          <w:rFonts w:ascii="宋体" w:hAnsi="宋体" w:hint="eastAsia"/>
          <w:bCs/>
          <w:sz w:val="24"/>
          <w:szCs w:val="24"/>
        </w:rPr>
        <w:t>，</w:t>
      </w:r>
      <w:r>
        <w:rPr>
          <w:rFonts w:ascii="宋体" w:hAnsi="宋体"/>
          <w:bCs/>
          <w:sz w:val="24"/>
          <w:szCs w:val="24"/>
        </w:rPr>
        <w:t>n</w:t>
      </w:r>
      <w:r>
        <w:rPr>
          <w:rFonts w:ascii="宋体" w:hAnsi="宋体" w:hint="eastAsia"/>
          <w:bCs/>
          <w:sz w:val="24"/>
          <w:szCs w:val="24"/>
        </w:rPr>
        <w:t>为自然数</w:t>
      </w:r>
    </w:p>
    <w:p w14:paraId="5723A061"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40</w:t>
      </w:r>
      <w:r>
        <w:rPr>
          <w:rFonts w:ascii="宋体" w:hAnsi="宋体" w:hint="eastAsia"/>
          <w:bCs/>
          <w:sz w:val="24"/>
          <w:szCs w:val="24"/>
        </w:rPr>
        <w:t>、</w:t>
      </w:r>
      <w:r>
        <w:rPr>
          <w:rFonts w:ascii="宋体" w:hAnsi="宋体"/>
          <w:bCs/>
          <w:sz w:val="24"/>
          <w:szCs w:val="24"/>
        </w:rPr>
        <w:t>开放日：指为投资人办理基金份额申购、赎回或其他业务的工作日</w:t>
      </w:r>
    </w:p>
    <w:p w14:paraId="1DB91D56"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41</w:t>
      </w:r>
      <w:r>
        <w:rPr>
          <w:rFonts w:ascii="宋体" w:hAnsi="宋体" w:hint="eastAsia"/>
          <w:bCs/>
          <w:sz w:val="24"/>
          <w:szCs w:val="24"/>
        </w:rPr>
        <w:t>、</w:t>
      </w:r>
      <w:r>
        <w:rPr>
          <w:rFonts w:ascii="宋体" w:hAnsi="宋体"/>
          <w:bCs/>
          <w:sz w:val="24"/>
          <w:szCs w:val="24"/>
        </w:rPr>
        <w:t>开放时间：指开放日基金接受申购、赎回或其他交易的时间段</w:t>
      </w:r>
    </w:p>
    <w:p w14:paraId="61A7269C"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42</w:t>
      </w:r>
      <w:r>
        <w:rPr>
          <w:rFonts w:ascii="宋体" w:hAnsi="宋体" w:hint="eastAsia"/>
          <w:bCs/>
          <w:sz w:val="24"/>
          <w:szCs w:val="24"/>
        </w:rPr>
        <w:t>、</w:t>
      </w:r>
      <w:r>
        <w:rPr>
          <w:rFonts w:ascii="宋体" w:hAnsi="宋体"/>
          <w:bCs/>
          <w:sz w:val="24"/>
          <w:szCs w:val="24"/>
        </w:rPr>
        <w:t>《业务规则》</w:t>
      </w:r>
      <w:r>
        <w:rPr>
          <w:rFonts w:ascii="宋体" w:hAnsi="宋体" w:hint="eastAsia"/>
          <w:bCs/>
          <w:sz w:val="24"/>
          <w:szCs w:val="24"/>
        </w:rPr>
        <w:t>或业务规则</w:t>
      </w:r>
      <w:r>
        <w:rPr>
          <w:rFonts w:ascii="宋体" w:hAnsi="宋体"/>
          <w:bCs/>
          <w:sz w:val="24"/>
          <w:szCs w:val="24"/>
        </w:rPr>
        <w:t>：</w:t>
      </w:r>
      <w:r>
        <w:rPr>
          <w:rFonts w:ascii="宋体" w:hAnsi="宋体" w:hint="eastAsia"/>
          <w:bCs/>
          <w:sz w:val="24"/>
          <w:szCs w:val="24"/>
        </w:rPr>
        <w:t>指《银华基金管理股份有限公司基金注册登记业务规则》及其不时做出的修订，是规范基金管理人所管理的开放式证券投资基金登记方面的业务规则，由基金管理人和投资人共同遵守</w:t>
      </w:r>
    </w:p>
    <w:p w14:paraId="64811B9E"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43</w:t>
      </w:r>
      <w:r>
        <w:rPr>
          <w:rFonts w:ascii="宋体" w:hAnsi="宋体" w:hint="eastAsia"/>
          <w:bCs/>
          <w:sz w:val="24"/>
          <w:szCs w:val="24"/>
        </w:rPr>
        <w:t>、</w:t>
      </w:r>
      <w:r>
        <w:rPr>
          <w:rFonts w:ascii="宋体" w:hAnsi="宋体"/>
          <w:bCs/>
          <w:sz w:val="24"/>
          <w:szCs w:val="24"/>
        </w:rPr>
        <w:t>认购：指在基金募集期内，</w:t>
      </w:r>
      <w:r>
        <w:rPr>
          <w:rFonts w:ascii="宋体" w:hAnsi="宋体" w:hint="eastAsia"/>
          <w:bCs/>
          <w:sz w:val="24"/>
          <w:szCs w:val="24"/>
        </w:rPr>
        <w:t>投资人根据基金合同和招募说明书规定的条件以及基金销售网点规定的手续申请购买本</w:t>
      </w:r>
      <w:proofErr w:type="gramStart"/>
      <w:r>
        <w:rPr>
          <w:rFonts w:ascii="宋体" w:hAnsi="宋体" w:hint="eastAsia"/>
          <w:bCs/>
          <w:sz w:val="24"/>
          <w:szCs w:val="24"/>
        </w:rPr>
        <w:t>基金基金</w:t>
      </w:r>
      <w:proofErr w:type="gramEnd"/>
      <w:r>
        <w:rPr>
          <w:rFonts w:ascii="宋体" w:hAnsi="宋体" w:hint="eastAsia"/>
          <w:bCs/>
          <w:sz w:val="24"/>
          <w:szCs w:val="24"/>
        </w:rPr>
        <w:t>份额的行为</w:t>
      </w:r>
    </w:p>
    <w:p w14:paraId="480D5A49"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44</w:t>
      </w:r>
      <w:r>
        <w:rPr>
          <w:rFonts w:ascii="宋体" w:hAnsi="宋体" w:hint="eastAsia"/>
          <w:bCs/>
          <w:sz w:val="24"/>
          <w:szCs w:val="24"/>
        </w:rPr>
        <w:t>、</w:t>
      </w:r>
      <w:r>
        <w:rPr>
          <w:rFonts w:ascii="宋体" w:hAnsi="宋体"/>
          <w:bCs/>
          <w:sz w:val="24"/>
          <w:szCs w:val="24"/>
        </w:rPr>
        <w:t>申购：指基金合同生效后，投资人根据基金合同和招募说明书规定的条件</w:t>
      </w:r>
      <w:r>
        <w:rPr>
          <w:rFonts w:ascii="宋体" w:hAnsi="宋体" w:hint="eastAsia"/>
          <w:bCs/>
          <w:sz w:val="24"/>
          <w:szCs w:val="24"/>
        </w:rPr>
        <w:t>以及基金销售网点规定的手续</w:t>
      </w:r>
      <w:r>
        <w:rPr>
          <w:rFonts w:ascii="宋体" w:hAnsi="宋体"/>
          <w:bCs/>
          <w:sz w:val="24"/>
          <w:szCs w:val="24"/>
        </w:rPr>
        <w:t>申请购买</w:t>
      </w:r>
      <w:r>
        <w:rPr>
          <w:rFonts w:ascii="宋体" w:hAnsi="宋体" w:hint="eastAsia"/>
          <w:bCs/>
          <w:sz w:val="24"/>
          <w:szCs w:val="24"/>
        </w:rPr>
        <w:t>本</w:t>
      </w:r>
      <w:proofErr w:type="gramStart"/>
      <w:r>
        <w:rPr>
          <w:rFonts w:ascii="宋体" w:hAnsi="宋体" w:hint="eastAsia"/>
          <w:bCs/>
          <w:sz w:val="24"/>
          <w:szCs w:val="24"/>
        </w:rPr>
        <w:t>基金</w:t>
      </w:r>
      <w:r>
        <w:rPr>
          <w:rFonts w:ascii="宋体" w:hAnsi="宋体"/>
          <w:bCs/>
          <w:sz w:val="24"/>
          <w:szCs w:val="24"/>
        </w:rPr>
        <w:t>基金</w:t>
      </w:r>
      <w:proofErr w:type="gramEnd"/>
      <w:r>
        <w:rPr>
          <w:rFonts w:ascii="宋体" w:hAnsi="宋体"/>
          <w:bCs/>
          <w:sz w:val="24"/>
          <w:szCs w:val="24"/>
        </w:rPr>
        <w:t>份额的行为</w:t>
      </w:r>
    </w:p>
    <w:p w14:paraId="434D6CD9"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45</w:t>
      </w:r>
      <w:r>
        <w:rPr>
          <w:rFonts w:ascii="宋体" w:hAnsi="宋体" w:hint="eastAsia"/>
          <w:bCs/>
          <w:sz w:val="24"/>
          <w:szCs w:val="24"/>
        </w:rPr>
        <w:t>、</w:t>
      </w:r>
      <w:r>
        <w:rPr>
          <w:rFonts w:ascii="宋体" w:hAnsi="宋体"/>
          <w:bCs/>
          <w:sz w:val="24"/>
          <w:szCs w:val="24"/>
        </w:rPr>
        <w:t>赎回：指基金合同生效后，基金份额持有人按基金合同</w:t>
      </w:r>
      <w:r>
        <w:rPr>
          <w:rFonts w:ascii="宋体" w:hAnsi="宋体" w:hint="eastAsia"/>
          <w:bCs/>
          <w:sz w:val="24"/>
          <w:szCs w:val="24"/>
        </w:rPr>
        <w:t>和招募说明书规定的条件以及基金销售网点规定的手续要求将本</w:t>
      </w:r>
      <w:proofErr w:type="gramStart"/>
      <w:r>
        <w:rPr>
          <w:rFonts w:ascii="宋体" w:hAnsi="宋体" w:hint="eastAsia"/>
          <w:bCs/>
          <w:sz w:val="24"/>
          <w:szCs w:val="24"/>
        </w:rPr>
        <w:t>基金基金</w:t>
      </w:r>
      <w:proofErr w:type="gramEnd"/>
      <w:r>
        <w:rPr>
          <w:rFonts w:ascii="宋体" w:hAnsi="宋体" w:hint="eastAsia"/>
          <w:bCs/>
          <w:sz w:val="24"/>
          <w:szCs w:val="24"/>
        </w:rPr>
        <w:t>份额兑换为现金的行为</w:t>
      </w:r>
    </w:p>
    <w:p w14:paraId="0C55A1DE"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46</w:t>
      </w:r>
      <w:r>
        <w:rPr>
          <w:rFonts w:ascii="宋体" w:hAnsi="宋体" w:hint="eastAsia"/>
          <w:bCs/>
          <w:sz w:val="24"/>
          <w:szCs w:val="24"/>
        </w:rPr>
        <w:t>、</w:t>
      </w:r>
      <w:r>
        <w:rPr>
          <w:rFonts w:ascii="宋体" w:hAnsi="宋体"/>
          <w:bCs/>
          <w:sz w:val="24"/>
          <w:szCs w:val="24"/>
        </w:rPr>
        <w:t>基金转换：</w:t>
      </w:r>
      <w:r>
        <w:rPr>
          <w:rFonts w:ascii="宋体" w:hAnsi="宋体" w:hint="eastAsia"/>
          <w:bCs/>
          <w:sz w:val="24"/>
          <w:szCs w:val="24"/>
        </w:rPr>
        <w:t>指在基金合同</w:t>
      </w:r>
      <w:r>
        <w:rPr>
          <w:rFonts w:ascii="宋体" w:hAnsi="宋体"/>
          <w:bCs/>
          <w:sz w:val="24"/>
          <w:szCs w:val="24"/>
        </w:rPr>
        <w:t>生效后，</w:t>
      </w:r>
      <w:r>
        <w:rPr>
          <w:rFonts w:ascii="宋体" w:hAnsi="宋体" w:hint="eastAsia"/>
          <w:bCs/>
          <w:sz w:val="24"/>
          <w:szCs w:val="24"/>
        </w:rPr>
        <w:t>基金份额持有人按照本基金合同和基金管理人届时有效公告规定的条件，申请将其持有基金管理人管理的、已开通基金转换业务的某一基金的全部或部分基金份额转换为同一基金管理人管理的且已开通基金转换业务的</w:t>
      </w:r>
      <w:r>
        <w:rPr>
          <w:rFonts w:ascii="宋体" w:hAnsi="宋体" w:hint="eastAsia"/>
          <w:sz w:val="24"/>
          <w:szCs w:val="24"/>
        </w:rPr>
        <w:t>其他</w:t>
      </w:r>
      <w:r>
        <w:rPr>
          <w:rFonts w:ascii="宋体" w:hAnsi="宋体" w:hint="eastAsia"/>
          <w:bCs/>
          <w:sz w:val="24"/>
          <w:szCs w:val="24"/>
        </w:rPr>
        <w:t>基金份额的行为</w:t>
      </w:r>
    </w:p>
    <w:p w14:paraId="4C2F7DBE"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47</w:t>
      </w:r>
      <w:r>
        <w:rPr>
          <w:rFonts w:ascii="宋体" w:hAnsi="宋体" w:hint="eastAsia"/>
          <w:bCs/>
          <w:sz w:val="24"/>
          <w:szCs w:val="24"/>
        </w:rPr>
        <w:t>、</w:t>
      </w:r>
      <w:r>
        <w:rPr>
          <w:rFonts w:ascii="宋体" w:hAnsi="宋体"/>
          <w:bCs/>
          <w:sz w:val="24"/>
          <w:szCs w:val="24"/>
        </w:rPr>
        <w:t>转托管：指基金份额持有人在本基金的不同销售机构之间实施的变更所持基金份额销售机构的操作</w:t>
      </w:r>
    </w:p>
    <w:p w14:paraId="54F7AF6C"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48</w:t>
      </w:r>
      <w:r>
        <w:rPr>
          <w:rFonts w:ascii="宋体" w:hAnsi="宋体" w:hint="eastAsia"/>
          <w:bCs/>
          <w:sz w:val="24"/>
          <w:szCs w:val="24"/>
        </w:rPr>
        <w:t>、定期定额投资计划：指投资人通过有关销售机构提出申请，约定每期申购日、扣款金额及扣款方式或其他定期定额投资条件，由销售机构按规定在投资人指定银行账户内自动完成扣款及受理基金申购申请的一种投资方式</w:t>
      </w:r>
    </w:p>
    <w:p w14:paraId="3D11B46D"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49</w:t>
      </w:r>
      <w:r>
        <w:rPr>
          <w:rFonts w:ascii="宋体" w:hAnsi="宋体" w:hint="eastAsia"/>
          <w:bCs/>
          <w:sz w:val="24"/>
          <w:szCs w:val="24"/>
        </w:rPr>
        <w:t>、</w:t>
      </w:r>
      <w:r>
        <w:rPr>
          <w:rFonts w:ascii="宋体" w:hAnsi="宋体"/>
          <w:bCs/>
          <w:sz w:val="24"/>
          <w:szCs w:val="24"/>
        </w:rPr>
        <w:t>巨额赎回：指本基金单个开放日，基金净赎回申请（赎回申请份额总数加上基金转换中转出申请份额总数后扣除申购申请份额总数及基金转换中转入申请份额总数后的余额）超过上一</w:t>
      </w:r>
      <w:r>
        <w:rPr>
          <w:rFonts w:ascii="宋体" w:hAnsi="宋体" w:hint="eastAsia"/>
          <w:bCs/>
          <w:sz w:val="24"/>
          <w:szCs w:val="24"/>
        </w:rPr>
        <w:t>开放</w:t>
      </w:r>
      <w:r>
        <w:rPr>
          <w:rFonts w:ascii="宋体" w:hAnsi="宋体"/>
          <w:bCs/>
          <w:sz w:val="24"/>
          <w:szCs w:val="24"/>
        </w:rPr>
        <w:t>日基金总份额的1</w:t>
      </w:r>
      <w:r>
        <w:rPr>
          <w:rFonts w:ascii="宋体" w:hAnsi="宋体" w:hint="eastAsia"/>
          <w:bCs/>
          <w:sz w:val="24"/>
          <w:szCs w:val="24"/>
        </w:rPr>
        <w:t>0%</w:t>
      </w:r>
    </w:p>
    <w:p w14:paraId="6B438C8A"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50</w:t>
      </w:r>
      <w:r>
        <w:rPr>
          <w:rFonts w:ascii="宋体" w:hAnsi="宋体" w:hint="eastAsia"/>
          <w:bCs/>
          <w:sz w:val="24"/>
          <w:szCs w:val="24"/>
        </w:rPr>
        <w:t>、</w:t>
      </w:r>
      <w:r>
        <w:rPr>
          <w:rFonts w:ascii="宋体" w:hAnsi="宋体"/>
          <w:bCs/>
          <w:sz w:val="24"/>
          <w:szCs w:val="24"/>
        </w:rPr>
        <w:t>元：指人民币元</w:t>
      </w:r>
    </w:p>
    <w:p w14:paraId="19738D43"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51</w:t>
      </w:r>
      <w:r>
        <w:rPr>
          <w:rFonts w:ascii="宋体" w:hAnsi="宋体" w:hint="eastAsia"/>
          <w:bCs/>
          <w:sz w:val="24"/>
          <w:szCs w:val="24"/>
        </w:rPr>
        <w:t>、基金利润：指基金利息收入、投资收益、公允价值变动收益和其他收入扣除相关费用后的余额</w:t>
      </w:r>
    </w:p>
    <w:p w14:paraId="00FEF206"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52</w:t>
      </w:r>
      <w:r>
        <w:rPr>
          <w:rFonts w:ascii="宋体" w:hAnsi="宋体" w:hint="eastAsia"/>
          <w:bCs/>
          <w:sz w:val="24"/>
          <w:szCs w:val="24"/>
        </w:rPr>
        <w:t>、</w:t>
      </w:r>
      <w:r>
        <w:rPr>
          <w:rFonts w:ascii="宋体" w:hAnsi="宋体"/>
          <w:bCs/>
          <w:sz w:val="24"/>
          <w:szCs w:val="24"/>
        </w:rPr>
        <w:t>基金资产总值：指基金拥有的</w:t>
      </w:r>
      <w:r>
        <w:rPr>
          <w:rFonts w:ascii="宋体" w:hAnsi="宋体" w:hint="eastAsia"/>
          <w:bCs/>
          <w:sz w:val="24"/>
          <w:szCs w:val="24"/>
        </w:rPr>
        <w:t>目标ETF份额、</w:t>
      </w:r>
      <w:r>
        <w:rPr>
          <w:rFonts w:ascii="宋体" w:hAnsi="宋体"/>
          <w:bCs/>
          <w:sz w:val="24"/>
          <w:szCs w:val="24"/>
        </w:rPr>
        <w:t>各类有价证券、银行存款本息、基金应收</w:t>
      </w:r>
      <w:r>
        <w:rPr>
          <w:rFonts w:ascii="宋体" w:hAnsi="宋体" w:hint="eastAsia"/>
          <w:bCs/>
          <w:sz w:val="24"/>
          <w:szCs w:val="24"/>
        </w:rPr>
        <w:t>款项</w:t>
      </w:r>
      <w:r>
        <w:rPr>
          <w:rFonts w:ascii="宋体" w:hAnsi="宋体"/>
          <w:bCs/>
          <w:sz w:val="24"/>
          <w:szCs w:val="24"/>
        </w:rPr>
        <w:t>及其他资产的价值总和</w:t>
      </w:r>
    </w:p>
    <w:p w14:paraId="4F9789E0"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53</w:t>
      </w:r>
      <w:r>
        <w:rPr>
          <w:rFonts w:ascii="宋体" w:hAnsi="宋体" w:hint="eastAsia"/>
          <w:bCs/>
          <w:sz w:val="24"/>
          <w:szCs w:val="24"/>
        </w:rPr>
        <w:t>、</w:t>
      </w:r>
      <w:r>
        <w:rPr>
          <w:rFonts w:ascii="宋体" w:hAnsi="宋体"/>
          <w:bCs/>
          <w:sz w:val="24"/>
          <w:szCs w:val="24"/>
        </w:rPr>
        <w:t>基金资产净值：指基金资产总值减去基金负债后的价值</w:t>
      </w:r>
    </w:p>
    <w:p w14:paraId="03912AF9" w14:textId="77777777" w:rsidR="00926695" w:rsidRDefault="00D830DA">
      <w:pPr>
        <w:adjustRightInd w:val="0"/>
        <w:snapToGrid w:val="0"/>
        <w:spacing w:line="360" w:lineRule="auto"/>
        <w:ind w:firstLineChars="200" w:firstLine="480"/>
        <w:rPr>
          <w:rFonts w:ascii="宋体" w:hAnsi="宋体"/>
          <w:bCs/>
          <w:sz w:val="24"/>
          <w:szCs w:val="24"/>
        </w:rPr>
      </w:pPr>
      <w:r>
        <w:rPr>
          <w:rFonts w:ascii="宋体" w:hAnsi="宋体"/>
          <w:bCs/>
          <w:sz w:val="24"/>
          <w:szCs w:val="24"/>
        </w:rPr>
        <w:t>54</w:t>
      </w:r>
      <w:r>
        <w:rPr>
          <w:rFonts w:ascii="宋体" w:hAnsi="宋体" w:hint="eastAsia"/>
          <w:bCs/>
          <w:sz w:val="24"/>
          <w:szCs w:val="24"/>
        </w:rPr>
        <w:t>、销售服务费：指从基金财产中计提的，用于本基金市场推广、销售以及基金份额持有人服务的费用</w:t>
      </w:r>
    </w:p>
    <w:p w14:paraId="3947A196" w14:textId="4723ACEA" w:rsidR="00166BB1" w:rsidRDefault="00D830DA">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w:t>
      </w:r>
      <w:r>
        <w:rPr>
          <w:rFonts w:ascii="宋体" w:hAnsi="宋体"/>
          <w:bCs/>
          <w:sz w:val="24"/>
          <w:szCs w:val="24"/>
        </w:rPr>
        <w:t>5</w:t>
      </w:r>
      <w:r>
        <w:rPr>
          <w:rFonts w:ascii="宋体" w:hAnsi="宋体" w:hint="eastAsia"/>
          <w:bCs/>
          <w:sz w:val="24"/>
          <w:szCs w:val="24"/>
        </w:rPr>
        <w:t>、基金份额类别：</w:t>
      </w:r>
      <w:r w:rsidR="009D2C38" w:rsidRPr="009D2C38">
        <w:rPr>
          <w:rFonts w:ascii="宋体" w:hAnsi="宋体" w:hint="eastAsia"/>
          <w:bCs/>
          <w:sz w:val="24"/>
          <w:szCs w:val="24"/>
        </w:rPr>
        <w:t>本基金将基金份额分为A类和C类</w:t>
      </w:r>
      <w:r w:rsidR="00166BB1" w:rsidRPr="009D2C38">
        <w:rPr>
          <w:rFonts w:ascii="宋体" w:hAnsi="宋体" w:hint="eastAsia"/>
          <w:bCs/>
          <w:sz w:val="24"/>
          <w:szCs w:val="24"/>
        </w:rPr>
        <w:t>不同的类别。在投资人认购、申购基金份额时收取认购、申购费用，而不从本类别基金资产中计</w:t>
      </w:r>
      <w:proofErr w:type="gramStart"/>
      <w:r w:rsidR="00166BB1" w:rsidRPr="009D2C38">
        <w:rPr>
          <w:rFonts w:ascii="宋体" w:hAnsi="宋体" w:hint="eastAsia"/>
          <w:bCs/>
          <w:sz w:val="24"/>
          <w:szCs w:val="24"/>
        </w:rPr>
        <w:t>提销售</w:t>
      </w:r>
      <w:proofErr w:type="gramEnd"/>
      <w:r w:rsidR="00166BB1" w:rsidRPr="009D2C38">
        <w:rPr>
          <w:rFonts w:ascii="宋体" w:hAnsi="宋体" w:hint="eastAsia"/>
          <w:bCs/>
          <w:sz w:val="24"/>
          <w:szCs w:val="24"/>
        </w:rPr>
        <w:t>服务费的，称为A类基金份额（其中，投资人通过基金管理人认购、申购A类基金份额的不收取认购、申购费用）。在投资人认购、申购基金份额时不收取认购、申购费用，而是从本类别基金资产中计</w:t>
      </w:r>
      <w:proofErr w:type="gramStart"/>
      <w:r w:rsidR="00166BB1" w:rsidRPr="009D2C38">
        <w:rPr>
          <w:rFonts w:ascii="宋体" w:hAnsi="宋体" w:hint="eastAsia"/>
          <w:bCs/>
          <w:sz w:val="24"/>
          <w:szCs w:val="24"/>
        </w:rPr>
        <w:t>提销售</w:t>
      </w:r>
      <w:proofErr w:type="gramEnd"/>
      <w:r w:rsidR="00166BB1" w:rsidRPr="009D2C38">
        <w:rPr>
          <w:rFonts w:ascii="宋体" w:hAnsi="宋体" w:hint="eastAsia"/>
          <w:bCs/>
          <w:sz w:val="24"/>
          <w:szCs w:val="24"/>
        </w:rPr>
        <w:t>服务费的，称为C类基金份额（其中，投资人通过基金管理人认购、申购的不收取销售服务费；投资人持续持有期限超过一年（即365天，下同）的C类基金份额，不再继续收取销售服务费）</w:t>
      </w:r>
    </w:p>
    <w:p w14:paraId="0C0EB8C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56</w:t>
      </w:r>
      <w:r>
        <w:rPr>
          <w:rFonts w:ascii="宋体" w:hAnsi="宋体" w:hint="eastAsia"/>
          <w:bCs/>
          <w:sz w:val="24"/>
          <w:szCs w:val="24"/>
        </w:rPr>
        <w:t>、</w:t>
      </w:r>
      <w:r>
        <w:rPr>
          <w:rFonts w:ascii="宋体" w:hAnsi="宋体"/>
          <w:bCs/>
          <w:sz w:val="24"/>
          <w:szCs w:val="24"/>
        </w:rPr>
        <w:t>基金份额净值：指计算日</w:t>
      </w:r>
      <w:r>
        <w:rPr>
          <w:rFonts w:ascii="宋体" w:hAnsi="宋体" w:hint="eastAsia"/>
          <w:bCs/>
          <w:sz w:val="24"/>
          <w:szCs w:val="24"/>
        </w:rPr>
        <w:t>各类</w:t>
      </w:r>
      <w:r>
        <w:rPr>
          <w:rFonts w:ascii="宋体" w:hAnsi="宋体"/>
          <w:bCs/>
          <w:sz w:val="24"/>
          <w:szCs w:val="24"/>
        </w:rPr>
        <w:t>基金资产净值</w:t>
      </w:r>
      <w:r>
        <w:rPr>
          <w:rFonts w:ascii="宋体" w:hAnsi="宋体" w:hint="eastAsia"/>
          <w:bCs/>
          <w:sz w:val="24"/>
          <w:szCs w:val="24"/>
        </w:rPr>
        <w:t>分别</w:t>
      </w:r>
      <w:r>
        <w:rPr>
          <w:rFonts w:ascii="宋体" w:hAnsi="宋体"/>
          <w:bCs/>
          <w:sz w:val="24"/>
          <w:szCs w:val="24"/>
        </w:rPr>
        <w:t>除以计算日</w:t>
      </w:r>
      <w:r>
        <w:rPr>
          <w:rFonts w:ascii="宋体" w:hAnsi="宋体" w:hint="eastAsia"/>
          <w:bCs/>
          <w:sz w:val="24"/>
          <w:szCs w:val="24"/>
        </w:rPr>
        <w:t>该类</w:t>
      </w:r>
      <w:r>
        <w:rPr>
          <w:rFonts w:ascii="宋体" w:hAnsi="宋体"/>
          <w:bCs/>
          <w:sz w:val="24"/>
          <w:szCs w:val="24"/>
        </w:rPr>
        <w:t>基金份额总数</w:t>
      </w:r>
      <w:r>
        <w:rPr>
          <w:rFonts w:ascii="宋体" w:hAnsi="宋体" w:hint="eastAsia"/>
          <w:bCs/>
          <w:sz w:val="24"/>
          <w:szCs w:val="24"/>
        </w:rPr>
        <w:t>所得价值</w:t>
      </w:r>
    </w:p>
    <w:p w14:paraId="2BD2A5F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57</w:t>
      </w:r>
      <w:r>
        <w:rPr>
          <w:rFonts w:ascii="宋体" w:hAnsi="宋体" w:hint="eastAsia"/>
          <w:bCs/>
          <w:sz w:val="24"/>
          <w:szCs w:val="24"/>
        </w:rPr>
        <w:t>、</w:t>
      </w:r>
      <w:r>
        <w:rPr>
          <w:rFonts w:ascii="宋体" w:hAnsi="宋体"/>
          <w:bCs/>
          <w:sz w:val="24"/>
          <w:szCs w:val="24"/>
        </w:rPr>
        <w:t>基金资产估值：指计算评估基金资产和负债的价值，以确定基金资产净值和基金份额净值的过程</w:t>
      </w:r>
    </w:p>
    <w:p w14:paraId="4B35FD7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58</w:t>
      </w:r>
      <w:r>
        <w:rPr>
          <w:rFonts w:ascii="宋体" w:hAnsi="宋体" w:hint="eastAsia"/>
          <w:bCs/>
          <w:sz w:val="24"/>
          <w:szCs w:val="24"/>
        </w:rPr>
        <w:t>、基金份额折算：指基金管理人根据基金运作的需要，在基金资产净值不变的前提下，按照一定比例调整基金份额总额及基金份额净值</w:t>
      </w:r>
    </w:p>
    <w:p w14:paraId="7149F7C0" w14:textId="77777777" w:rsidR="00166BB1" w:rsidRDefault="00166BB1">
      <w:pPr>
        <w:spacing w:line="360" w:lineRule="auto"/>
        <w:ind w:firstLine="480"/>
        <w:rPr>
          <w:rFonts w:ascii="宋体" w:hAnsi="宋体"/>
          <w:bCs/>
          <w:sz w:val="24"/>
        </w:rPr>
      </w:pPr>
      <w:r>
        <w:rPr>
          <w:rFonts w:ascii="宋体" w:hAnsi="宋体" w:hint="eastAsia"/>
          <w:bCs/>
          <w:sz w:val="24"/>
        </w:rPr>
        <w:t>59、交易型开放式指数证券投资基金：指深圳证券交易所证券投资基金交易和申购赎回相关规则定义的“交易型开放式基金”，简称“ETF”（Exchange Traded Fund）</w:t>
      </w:r>
    </w:p>
    <w:p w14:paraId="3DB27710" w14:textId="77777777" w:rsidR="00166BB1" w:rsidRDefault="00166BB1">
      <w:pPr>
        <w:spacing w:line="360" w:lineRule="auto"/>
        <w:ind w:firstLine="480"/>
        <w:rPr>
          <w:rFonts w:ascii="宋体" w:hAnsi="宋体"/>
          <w:bCs/>
          <w:sz w:val="24"/>
          <w:szCs w:val="24"/>
        </w:rPr>
      </w:pPr>
      <w:r>
        <w:rPr>
          <w:rFonts w:ascii="宋体" w:hAnsi="宋体" w:hint="eastAsia"/>
          <w:bCs/>
          <w:sz w:val="24"/>
        </w:rPr>
        <w:t>60、ETF联接基金：指将其绝大部分基金财产投资于跟踪同一标的指数的</w:t>
      </w:r>
      <w:r>
        <w:rPr>
          <w:rFonts w:ascii="宋体" w:hAnsi="宋体"/>
          <w:bCs/>
          <w:sz w:val="24"/>
        </w:rPr>
        <w:t>ETF</w:t>
      </w:r>
      <w:r>
        <w:rPr>
          <w:rFonts w:ascii="宋体" w:hAnsi="宋体" w:hint="eastAsia"/>
          <w:bCs/>
          <w:sz w:val="24"/>
        </w:rPr>
        <w:t>（以下简称“目标</w:t>
      </w:r>
      <w:r>
        <w:rPr>
          <w:rFonts w:ascii="宋体" w:hAnsi="宋体"/>
          <w:bCs/>
          <w:sz w:val="24"/>
        </w:rPr>
        <w:t>ETF</w:t>
      </w:r>
      <w:r>
        <w:rPr>
          <w:rFonts w:ascii="宋体" w:hAnsi="宋体" w:hint="eastAsia"/>
          <w:bCs/>
          <w:sz w:val="24"/>
        </w:rPr>
        <w:t>”），紧密跟踪标的指数表现，追求跟踪偏离度和跟踪误差最小化，采用开放式运作方式的基金，本基金是联接其所投资的目标ETF的ETF联接基金</w:t>
      </w:r>
    </w:p>
    <w:p w14:paraId="028E737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61、目标ETF：指另一获中国证监会注册的交易型开放式指数证券投资基金（简称“该ETF”），该ETF和本基金所跟踪的标的指数相同，并且该ETF的投资目标和本基金的投资目标类似，本基金主要投资于该ETF以求达到投资目标。本基金以银华中证有色金属交易型开放式指数证券投资基金为目标ETF</w:t>
      </w:r>
    </w:p>
    <w:p w14:paraId="2DF036C2" w14:textId="77777777" w:rsidR="00166BB1" w:rsidRDefault="00166BB1" w:rsidP="00AD2C2A">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62、流动性受限资产：指由于法律法规、监管、合同或操作障碍等原因无法以合理价格予以变现的资产，包括但不限于到期日在10个交易日以上的逆回购与银行定期存款（</w:t>
      </w:r>
      <w:proofErr w:type="gramStart"/>
      <w:r>
        <w:rPr>
          <w:rFonts w:ascii="宋体" w:hAnsi="宋体" w:hint="eastAsia"/>
          <w:bCs/>
          <w:sz w:val="24"/>
          <w:szCs w:val="24"/>
        </w:rPr>
        <w:t>含协议</w:t>
      </w:r>
      <w:proofErr w:type="gramEnd"/>
      <w:r>
        <w:rPr>
          <w:rFonts w:ascii="宋体" w:hAnsi="宋体" w:hint="eastAsia"/>
          <w:bCs/>
          <w:sz w:val="24"/>
          <w:szCs w:val="24"/>
        </w:rPr>
        <w:t>约定有条件提前支取的银行存款）、停牌股票、流通受</w:t>
      </w:r>
      <w:r>
        <w:rPr>
          <w:rFonts w:ascii="宋体" w:hAnsi="宋体" w:hint="eastAsia"/>
          <w:bCs/>
          <w:sz w:val="24"/>
          <w:szCs w:val="24"/>
        </w:rPr>
        <w:lastRenderedPageBreak/>
        <w:t>限的新股及非公开发行股票、资产支持证券、因发行人债务违约无法进行转让或交易的债券等</w:t>
      </w:r>
    </w:p>
    <w:p w14:paraId="73716F7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63、摆动定价机制：指当开放式基金遭遇大额申购赎回时，通过调整基金份额净值的方式，将基金调整投资组合的市场冲击成本分配给实际申购、赎回的投资人，从而减少对存量基金份额持有人利益的不利影响，确保投资人的合法权益不受损害并得到公平对待</w:t>
      </w:r>
    </w:p>
    <w:p w14:paraId="61CF1C66" w14:textId="77777777" w:rsidR="00166BB1" w:rsidRDefault="00166BB1">
      <w:pPr>
        <w:adjustRightInd w:val="0"/>
        <w:snapToGrid w:val="0"/>
        <w:spacing w:line="360" w:lineRule="auto"/>
        <w:ind w:firstLineChars="200" w:firstLine="480"/>
        <w:rPr>
          <w:bCs/>
          <w:sz w:val="24"/>
          <w:szCs w:val="24"/>
        </w:rPr>
      </w:pPr>
      <w:r>
        <w:rPr>
          <w:rFonts w:ascii="宋体" w:hAnsi="宋体" w:hint="eastAsia"/>
          <w:bCs/>
          <w:sz w:val="24"/>
          <w:szCs w:val="24"/>
        </w:rPr>
        <w:t>64、</w:t>
      </w:r>
      <w:r>
        <w:rPr>
          <w:rFonts w:hint="eastAsia"/>
          <w:bCs/>
          <w:sz w:val="24"/>
          <w:szCs w:val="24"/>
        </w:rPr>
        <w:t>规定媒介：指符合中国证监会规定条件的用以进行信息披露的全国性报刊及《信息披露办法》规定的互联网网站（包括基金管理人网站、基金托管人网站、中国证监会基金电子披露网站）等媒介</w:t>
      </w:r>
    </w:p>
    <w:p w14:paraId="618156F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65、</w:t>
      </w:r>
      <w:r>
        <w:rPr>
          <w:rFonts w:ascii="宋体" w:hAnsi="宋体"/>
          <w:bCs/>
          <w:sz w:val="24"/>
          <w:szCs w:val="24"/>
        </w:rPr>
        <w:t>不可抗力：指本</w:t>
      </w:r>
      <w:r>
        <w:rPr>
          <w:rFonts w:ascii="宋体" w:hAnsi="宋体" w:hint="eastAsia"/>
          <w:bCs/>
          <w:sz w:val="24"/>
          <w:szCs w:val="24"/>
        </w:rPr>
        <w:t>基金</w:t>
      </w:r>
      <w:r>
        <w:rPr>
          <w:rFonts w:ascii="宋体" w:hAnsi="宋体"/>
          <w:bCs/>
          <w:sz w:val="24"/>
          <w:szCs w:val="24"/>
        </w:rPr>
        <w:t>合同当事人不能预见、不能避免且不能克服的客观事件</w:t>
      </w:r>
    </w:p>
    <w:p w14:paraId="39F2EAE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66、转融通证券出借业务：指本基金以一定费率，通过证券交易所综合业务平台向中国证券金融股份有限公司出借证券，中国证券金融股份有限公司到期归还所借证券及相应权益补偿并支付费用的业务</w:t>
      </w:r>
    </w:p>
    <w:p w14:paraId="372A3BD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67、</w:t>
      </w:r>
      <w:proofErr w:type="gramStart"/>
      <w:r>
        <w:rPr>
          <w:rFonts w:ascii="宋体" w:hAnsi="宋体" w:hint="eastAsia"/>
          <w:bCs/>
          <w:sz w:val="24"/>
          <w:szCs w:val="24"/>
        </w:rPr>
        <w:t>侧袋机制</w:t>
      </w:r>
      <w:proofErr w:type="gramEnd"/>
      <w:r>
        <w:rPr>
          <w:rFonts w:ascii="宋体" w:hAnsi="宋体" w:hint="eastAsia"/>
          <w:bCs/>
          <w:sz w:val="24"/>
          <w:szCs w:val="24"/>
        </w:rPr>
        <w:t>：指将基金投资组合中的特定资产从原有账户分离至一个专门账户进行处置清算，目的在于有效隔离并化解风险，确保投资者得到公平对待，属于流动性风险管理工具。</w:t>
      </w:r>
      <w:proofErr w:type="gramStart"/>
      <w:r>
        <w:rPr>
          <w:rFonts w:ascii="宋体" w:hAnsi="宋体" w:hint="eastAsia"/>
          <w:bCs/>
          <w:sz w:val="24"/>
          <w:szCs w:val="24"/>
        </w:rPr>
        <w:t>侧袋机制</w:t>
      </w:r>
      <w:proofErr w:type="gramEnd"/>
      <w:r>
        <w:rPr>
          <w:rFonts w:ascii="宋体" w:hAnsi="宋体" w:hint="eastAsia"/>
          <w:bCs/>
          <w:sz w:val="24"/>
          <w:szCs w:val="24"/>
        </w:rPr>
        <w:t>实施期间，原有账户称为主袋账户，专门账户</w:t>
      </w:r>
      <w:proofErr w:type="gramStart"/>
      <w:r>
        <w:rPr>
          <w:rFonts w:ascii="宋体" w:hAnsi="宋体" w:hint="eastAsia"/>
          <w:bCs/>
          <w:sz w:val="24"/>
          <w:szCs w:val="24"/>
        </w:rPr>
        <w:t>称为侧袋账户</w:t>
      </w:r>
      <w:proofErr w:type="gramEnd"/>
    </w:p>
    <w:p w14:paraId="6A4783F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68、特定资产：包括：（一）无可参考的活跃市场价格且采用估值技术</w:t>
      </w:r>
      <w:proofErr w:type="gramStart"/>
      <w:r>
        <w:rPr>
          <w:rFonts w:ascii="宋体" w:hAnsi="宋体" w:hint="eastAsia"/>
          <w:bCs/>
          <w:sz w:val="24"/>
          <w:szCs w:val="24"/>
        </w:rPr>
        <w:t>仍导致</w:t>
      </w:r>
      <w:proofErr w:type="gramEnd"/>
      <w:r>
        <w:rPr>
          <w:rFonts w:ascii="宋体" w:hAnsi="宋体" w:hint="eastAsia"/>
          <w:bCs/>
          <w:sz w:val="24"/>
          <w:szCs w:val="24"/>
        </w:rPr>
        <w:t>公允价值存在重大不确定性的资产；（二）</w:t>
      </w:r>
      <w:proofErr w:type="gramStart"/>
      <w:r>
        <w:rPr>
          <w:rFonts w:ascii="宋体" w:hAnsi="宋体" w:hint="eastAsia"/>
          <w:bCs/>
          <w:sz w:val="24"/>
          <w:szCs w:val="24"/>
        </w:rPr>
        <w:t>按摊余成本</w:t>
      </w:r>
      <w:proofErr w:type="gramEnd"/>
      <w:r>
        <w:rPr>
          <w:rFonts w:ascii="宋体" w:hAnsi="宋体" w:hint="eastAsia"/>
          <w:bCs/>
          <w:sz w:val="24"/>
          <w:szCs w:val="24"/>
        </w:rPr>
        <w:t>计量且计提资产减值</w:t>
      </w:r>
      <w:proofErr w:type="gramStart"/>
      <w:r>
        <w:rPr>
          <w:rFonts w:ascii="宋体" w:hAnsi="宋体" w:hint="eastAsia"/>
          <w:bCs/>
          <w:sz w:val="24"/>
          <w:szCs w:val="24"/>
        </w:rPr>
        <w:t>准备仍导致</w:t>
      </w:r>
      <w:proofErr w:type="gramEnd"/>
      <w:r>
        <w:rPr>
          <w:rFonts w:ascii="宋体" w:hAnsi="宋体" w:hint="eastAsia"/>
          <w:bCs/>
          <w:sz w:val="24"/>
          <w:szCs w:val="24"/>
        </w:rPr>
        <w:t>资产价值存在重大不确定性的资产；（三）其他资产价值存在重大不确定性的资产</w:t>
      </w:r>
    </w:p>
    <w:p w14:paraId="549EB681" w14:textId="77777777" w:rsidR="00166BB1" w:rsidRDefault="00166BB1">
      <w:pPr>
        <w:spacing w:line="360" w:lineRule="auto"/>
        <w:ind w:firstLineChars="200" w:firstLine="480"/>
        <w:rPr>
          <w:rFonts w:ascii="宋体" w:hAnsi="宋体"/>
          <w:bCs/>
          <w:sz w:val="24"/>
          <w:szCs w:val="24"/>
        </w:rPr>
      </w:pPr>
    </w:p>
    <w:p w14:paraId="67CC64E7" w14:textId="77777777" w:rsidR="00166BB1" w:rsidRDefault="00166BB1">
      <w:pPr>
        <w:pStyle w:val="1"/>
        <w:spacing w:before="0" w:after="0"/>
        <w:jc w:val="center"/>
        <w:rPr>
          <w:rFonts w:ascii="Times New Roman"/>
          <w:color w:val="auto"/>
          <w:sz w:val="32"/>
        </w:rPr>
      </w:pPr>
      <w:r>
        <w:rPr>
          <w:rFonts w:ascii="Times New Roman"/>
          <w:b w:val="0"/>
          <w:bCs/>
          <w:color w:val="auto"/>
        </w:rPr>
        <w:br w:type="page"/>
      </w:r>
      <w:bookmarkStart w:id="52" w:name="_Toc531676870"/>
      <w:bookmarkStart w:id="53" w:name="_Toc733"/>
      <w:bookmarkStart w:id="54" w:name="_Toc18631"/>
      <w:bookmarkStart w:id="55" w:name="_Toc545"/>
      <w:bookmarkStart w:id="56" w:name="_Toc24571"/>
      <w:bookmarkStart w:id="57" w:name="_Toc20318"/>
      <w:bookmarkStart w:id="58" w:name="_Toc20627"/>
      <w:bookmarkStart w:id="59" w:name="_Toc6149"/>
      <w:bookmarkStart w:id="60" w:name="_Toc6683"/>
      <w:bookmarkStart w:id="61" w:name="_Toc22708"/>
      <w:bookmarkStart w:id="62" w:name="_Toc89430558"/>
      <w:bookmarkStart w:id="63" w:name="_Toc13288"/>
      <w:bookmarkStart w:id="64" w:name="_Toc258829400"/>
      <w:bookmarkStart w:id="65" w:name="_Toc233456272"/>
      <w:r>
        <w:rPr>
          <w:rFonts w:ascii="Times New Roman"/>
          <w:color w:val="auto"/>
          <w:sz w:val="32"/>
        </w:rPr>
        <w:lastRenderedPageBreak/>
        <w:t>第三部分</w:t>
      </w:r>
      <w:r>
        <w:rPr>
          <w:rFonts w:ascii="Times New Roman" w:hint="eastAsia"/>
          <w:color w:val="auto"/>
          <w:sz w:val="32"/>
        </w:rPr>
        <w:t xml:space="preserve">  </w:t>
      </w:r>
      <w:r>
        <w:rPr>
          <w:rFonts w:ascii="Times New Roman"/>
          <w:color w:val="auto"/>
          <w:sz w:val="32"/>
        </w:rPr>
        <w:t>基金的基本情况</w:t>
      </w:r>
      <w:bookmarkStart w:id="66" w:name="_Toc79392573"/>
      <w:bookmarkEnd w:id="52"/>
      <w:bookmarkEnd w:id="53"/>
      <w:bookmarkEnd w:id="54"/>
      <w:bookmarkEnd w:id="55"/>
      <w:bookmarkEnd w:id="56"/>
      <w:bookmarkEnd w:id="57"/>
      <w:bookmarkEnd w:id="58"/>
      <w:bookmarkEnd w:id="59"/>
      <w:bookmarkEnd w:id="60"/>
      <w:bookmarkEnd w:id="61"/>
      <w:bookmarkEnd w:id="62"/>
      <w:bookmarkEnd w:id="63"/>
    </w:p>
    <w:p w14:paraId="2747DD4B" w14:textId="77777777" w:rsidR="00166BB1" w:rsidRDefault="00166BB1">
      <w:pPr>
        <w:spacing w:line="360" w:lineRule="auto"/>
        <w:ind w:firstLine="540"/>
        <w:rPr>
          <w:bCs/>
          <w:sz w:val="24"/>
        </w:rPr>
      </w:pPr>
      <w:bookmarkStart w:id="67" w:name="_Hlt88031774"/>
      <w:bookmarkStart w:id="68" w:name="_Hlt88031741"/>
      <w:bookmarkEnd w:id="67"/>
    </w:p>
    <w:bookmarkEnd w:id="68"/>
    <w:p w14:paraId="0B0144E4"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一、基金名称</w:t>
      </w:r>
      <w:bookmarkEnd w:id="66"/>
    </w:p>
    <w:p w14:paraId="4ABC8C9C"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银华中证有色金属交易型开放式指数证券投资基金联接基金</w:t>
      </w:r>
    </w:p>
    <w:p w14:paraId="3E6B15D6" w14:textId="77777777" w:rsidR="00166BB1" w:rsidRDefault="00166BB1">
      <w:pPr>
        <w:adjustRightInd w:val="0"/>
        <w:snapToGrid w:val="0"/>
        <w:spacing w:line="360" w:lineRule="auto"/>
        <w:ind w:firstLineChars="200" w:firstLine="480"/>
        <w:rPr>
          <w:rFonts w:ascii="宋体" w:hAnsi="宋体"/>
          <w:bCs/>
          <w:sz w:val="24"/>
        </w:rPr>
      </w:pPr>
      <w:bookmarkStart w:id="69" w:name="_Toc79392574"/>
      <w:r>
        <w:rPr>
          <w:rFonts w:ascii="宋体" w:hAnsi="宋体"/>
          <w:bCs/>
          <w:sz w:val="24"/>
        </w:rPr>
        <w:t>二、基金的类别</w:t>
      </w:r>
      <w:bookmarkEnd w:id="69"/>
    </w:p>
    <w:p w14:paraId="2D31926D" w14:textId="77777777" w:rsidR="00166BB1" w:rsidRDefault="00166BB1">
      <w:pPr>
        <w:snapToGrid w:val="0"/>
        <w:spacing w:line="360" w:lineRule="auto"/>
        <w:ind w:firstLine="480"/>
        <w:rPr>
          <w:rFonts w:ascii="宋体" w:hAnsi="宋体"/>
          <w:bCs/>
          <w:sz w:val="24"/>
        </w:rPr>
      </w:pPr>
      <w:r>
        <w:rPr>
          <w:rFonts w:ascii="宋体" w:hAnsi="宋体" w:hint="eastAsia"/>
          <w:bCs/>
          <w:sz w:val="24"/>
        </w:rPr>
        <w:t>ETF联接基金</w:t>
      </w:r>
    </w:p>
    <w:p w14:paraId="61CB37B6" w14:textId="77777777" w:rsidR="00166BB1" w:rsidRDefault="00166BB1">
      <w:pPr>
        <w:adjustRightInd w:val="0"/>
        <w:snapToGrid w:val="0"/>
        <w:spacing w:line="360" w:lineRule="auto"/>
        <w:ind w:firstLineChars="200" w:firstLine="480"/>
        <w:rPr>
          <w:rFonts w:ascii="宋体" w:hAnsi="宋体"/>
          <w:bCs/>
          <w:sz w:val="24"/>
        </w:rPr>
      </w:pPr>
      <w:bookmarkStart w:id="70" w:name="_Toc79392575"/>
      <w:r>
        <w:rPr>
          <w:rFonts w:ascii="宋体" w:hAnsi="宋体"/>
          <w:bCs/>
          <w:sz w:val="24"/>
        </w:rPr>
        <w:t>三、基金的运作方式</w:t>
      </w:r>
    </w:p>
    <w:p w14:paraId="4C253255"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契约型开放式</w:t>
      </w:r>
    </w:p>
    <w:p w14:paraId="4A08D253"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四</w:t>
      </w:r>
      <w:r>
        <w:rPr>
          <w:rFonts w:ascii="宋体" w:hAnsi="宋体"/>
          <w:bCs/>
          <w:sz w:val="24"/>
        </w:rPr>
        <w:t>、基金的投资目标</w:t>
      </w:r>
      <w:bookmarkEnd w:id="70"/>
    </w:p>
    <w:p w14:paraId="4F79A620" w14:textId="77777777" w:rsidR="00166BB1" w:rsidRDefault="00166BB1">
      <w:pPr>
        <w:snapToGrid w:val="0"/>
        <w:spacing w:line="360" w:lineRule="auto"/>
        <w:ind w:firstLine="480"/>
        <w:rPr>
          <w:rFonts w:ascii="宋体" w:hAnsi="宋体"/>
          <w:bCs/>
          <w:sz w:val="24"/>
        </w:rPr>
      </w:pPr>
      <w:bookmarkStart w:id="71" w:name="OLE_LINK9"/>
      <w:bookmarkStart w:id="72" w:name="OLE_LINK10"/>
      <w:bookmarkStart w:id="73" w:name="_Toc79392576"/>
      <w:r>
        <w:rPr>
          <w:rFonts w:ascii="宋体" w:hAnsi="宋体" w:hint="eastAsia"/>
          <w:bCs/>
          <w:sz w:val="24"/>
        </w:rPr>
        <w:t>本基金主要通过投资于目标ETF，紧密跟踪标的指数，追求跟踪偏离度和跟踪误差最小化。</w:t>
      </w:r>
      <w:bookmarkEnd w:id="71"/>
      <w:bookmarkEnd w:id="72"/>
    </w:p>
    <w:p w14:paraId="08E6E9A7"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五、</w:t>
      </w:r>
      <w:r>
        <w:rPr>
          <w:rFonts w:ascii="宋体" w:hAnsi="宋体"/>
          <w:bCs/>
          <w:sz w:val="24"/>
        </w:rPr>
        <w:t>基金的最低募集份额总额</w:t>
      </w:r>
      <w:r>
        <w:rPr>
          <w:rFonts w:ascii="宋体" w:hAnsi="宋体" w:hint="eastAsia"/>
          <w:bCs/>
          <w:sz w:val="24"/>
        </w:rPr>
        <w:t>和金额</w:t>
      </w:r>
      <w:bookmarkEnd w:id="73"/>
    </w:p>
    <w:p w14:paraId="1D9E5ED9"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本基金的最低募集份额总额为</w:t>
      </w:r>
      <w:r>
        <w:rPr>
          <w:rFonts w:ascii="宋体" w:hAnsi="宋体" w:hint="eastAsia"/>
          <w:bCs/>
          <w:sz w:val="24"/>
        </w:rPr>
        <w:t>2</w:t>
      </w:r>
      <w:r>
        <w:rPr>
          <w:rFonts w:ascii="宋体" w:hAnsi="宋体"/>
          <w:bCs/>
          <w:sz w:val="24"/>
        </w:rPr>
        <w:t>亿份</w:t>
      </w:r>
      <w:r>
        <w:rPr>
          <w:rFonts w:ascii="宋体" w:hAnsi="宋体" w:hint="eastAsia"/>
          <w:bCs/>
          <w:sz w:val="24"/>
        </w:rPr>
        <w:t>，基金募集金额不少于2亿元人民币</w:t>
      </w:r>
      <w:r>
        <w:rPr>
          <w:rFonts w:ascii="宋体" w:hAnsi="宋体"/>
          <w:bCs/>
          <w:sz w:val="24"/>
        </w:rPr>
        <w:t>。</w:t>
      </w:r>
    </w:p>
    <w:p w14:paraId="5FA960A1" w14:textId="77777777" w:rsidR="00166BB1" w:rsidRDefault="00166BB1">
      <w:pPr>
        <w:adjustRightInd w:val="0"/>
        <w:snapToGrid w:val="0"/>
        <w:spacing w:line="360" w:lineRule="auto"/>
        <w:ind w:firstLineChars="200" w:firstLine="480"/>
        <w:rPr>
          <w:rFonts w:ascii="宋体" w:hAnsi="宋体"/>
          <w:bCs/>
          <w:sz w:val="24"/>
        </w:rPr>
      </w:pPr>
      <w:bookmarkStart w:id="74" w:name="_Toc79392577"/>
      <w:r>
        <w:rPr>
          <w:rFonts w:ascii="宋体" w:hAnsi="宋体" w:hint="eastAsia"/>
          <w:bCs/>
          <w:sz w:val="24"/>
        </w:rPr>
        <w:t>六</w:t>
      </w:r>
      <w:r>
        <w:rPr>
          <w:rFonts w:ascii="宋体" w:hAnsi="宋体"/>
          <w:bCs/>
          <w:sz w:val="24"/>
        </w:rPr>
        <w:t>、基金</w:t>
      </w:r>
      <w:r>
        <w:rPr>
          <w:rFonts w:ascii="宋体" w:hAnsi="宋体" w:hint="eastAsia"/>
          <w:bCs/>
          <w:sz w:val="24"/>
        </w:rPr>
        <w:t>份额发售</w:t>
      </w:r>
      <w:r>
        <w:rPr>
          <w:rFonts w:ascii="宋体" w:hAnsi="宋体"/>
          <w:bCs/>
          <w:sz w:val="24"/>
        </w:rPr>
        <w:t>面值</w:t>
      </w:r>
      <w:bookmarkEnd w:id="74"/>
      <w:r>
        <w:rPr>
          <w:rFonts w:ascii="宋体" w:hAnsi="宋体"/>
          <w:bCs/>
          <w:sz w:val="24"/>
        </w:rPr>
        <w:t>和认购费用</w:t>
      </w:r>
    </w:p>
    <w:p w14:paraId="7FECEA5C"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本</w:t>
      </w:r>
      <w:proofErr w:type="gramStart"/>
      <w:r>
        <w:rPr>
          <w:rFonts w:ascii="宋体" w:hAnsi="宋体"/>
          <w:bCs/>
          <w:sz w:val="24"/>
        </w:rPr>
        <w:t>基金基金</w:t>
      </w:r>
      <w:proofErr w:type="gramEnd"/>
      <w:r>
        <w:rPr>
          <w:rFonts w:ascii="宋体" w:hAnsi="宋体"/>
          <w:bCs/>
          <w:sz w:val="24"/>
        </w:rPr>
        <w:t>份额发售面值为人民币</w:t>
      </w:r>
      <w:r>
        <w:rPr>
          <w:rFonts w:ascii="宋体" w:hAnsi="宋体" w:hint="eastAsia"/>
          <w:bCs/>
          <w:sz w:val="24"/>
        </w:rPr>
        <w:t>1.00</w:t>
      </w:r>
      <w:r>
        <w:rPr>
          <w:rFonts w:ascii="宋体" w:hAnsi="宋体"/>
          <w:bCs/>
          <w:sz w:val="24"/>
        </w:rPr>
        <w:t>元。</w:t>
      </w:r>
    </w:p>
    <w:p w14:paraId="3EE7BE83" w14:textId="77777777" w:rsidR="00166BB1" w:rsidRPr="00D86BF6" w:rsidRDefault="00166BB1" w:rsidP="00D86BF6">
      <w:pPr>
        <w:autoSpaceDE w:val="0"/>
        <w:autoSpaceDN w:val="0"/>
        <w:adjustRightInd w:val="0"/>
        <w:snapToGrid w:val="0"/>
        <w:spacing w:line="360" w:lineRule="auto"/>
        <w:ind w:firstLineChars="200" w:firstLine="480"/>
        <w:rPr>
          <w:rFonts w:ascii="宋体" w:hAnsi="宋体"/>
          <w:bCs/>
          <w:sz w:val="24"/>
        </w:rPr>
      </w:pPr>
      <w:r w:rsidRPr="00D86BF6">
        <w:rPr>
          <w:rFonts w:ascii="宋体" w:hAnsi="宋体" w:hint="eastAsia"/>
          <w:bCs/>
          <w:sz w:val="24"/>
        </w:rPr>
        <w:t>通过基金管理人认购本</w:t>
      </w:r>
      <w:proofErr w:type="gramStart"/>
      <w:r w:rsidRPr="00D86BF6">
        <w:rPr>
          <w:rFonts w:ascii="宋体" w:hAnsi="宋体" w:hint="eastAsia"/>
          <w:bCs/>
          <w:sz w:val="24"/>
        </w:rPr>
        <w:t>基金基金</w:t>
      </w:r>
      <w:proofErr w:type="gramEnd"/>
      <w:r w:rsidRPr="00D86BF6">
        <w:rPr>
          <w:rFonts w:ascii="宋体" w:hAnsi="宋体" w:hint="eastAsia"/>
          <w:bCs/>
          <w:sz w:val="24"/>
        </w:rPr>
        <w:t>份额的，不收取认购费。</w:t>
      </w:r>
    </w:p>
    <w:p w14:paraId="5B84816D" w14:textId="77777777" w:rsidR="00166BB1" w:rsidRDefault="00166BB1" w:rsidP="00D86BF6">
      <w:pPr>
        <w:autoSpaceDE w:val="0"/>
        <w:autoSpaceDN w:val="0"/>
        <w:adjustRightInd w:val="0"/>
        <w:snapToGrid w:val="0"/>
        <w:spacing w:line="360" w:lineRule="auto"/>
        <w:ind w:firstLineChars="200" w:firstLine="480"/>
        <w:rPr>
          <w:rFonts w:ascii="宋体" w:hAnsi="宋体"/>
          <w:bCs/>
          <w:sz w:val="24"/>
        </w:rPr>
      </w:pPr>
      <w:r w:rsidRPr="00D86BF6">
        <w:rPr>
          <w:rFonts w:ascii="宋体" w:hAnsi="宋体" w:hint="eastAsia"/>
          <w:bCs/>
          <w:sz w:val="24"/>
        </w:rPr>
        <w:t>通过其他销售机构认购本</w:t>
      </w:r>
      <w:proofErr w:type="gramStart"/>
      <w:r w:rsidRPr="00D86BF6">
        <w:rPr>
          <w:rFonts w:ascii="宋体" w:hAnsi="宋体" w:hint="eastAsia"/>
          <w:bCs/>
          <w:sz w:val="24"/>
        </w:rPr>
        <w:t>基金基金</w:t>
      </w:r>
      <w:proofErr w:type="gramEnd"/>
      <w:r w:rsidRPr="00D86BF6">
        <w:rPr>
          <w:rFonts w:ascii="宋体" w:hAnsi="宋体" w:hint="eastAsia"/>
          <w:bCs/>
          <w:sz w:val="24"/>
        </w:rPr>
        <w:t>份额的，</w:t>
      </w:r>
      <w:r>
        <w:rPr>
          <w:rFonts w:ascii="宋体" w:hAnsi="宋体" w:hint="eastAsia"/>
          <w:bCs/>
          <w:sz w:val="24"/>
        </w:rPr>
        <w:t>本基金C类基金份额不收取认购费，本基金A类基金份额的具体认购费率按招募说明书及基金产品资料概要的规定执行。</w:t>
      </w:r>
    </w:p>
    <w:p w14:paraId="05662AA3" w14:textId="77777777" w:rsidR="00166BB1" w:rsidRDefault="00166BB1">
      <w:pPr>
        <w:adjustRightInd w:val="0"/>
        <w:snapToGrid w:val="0"/>
        <w:spacing w:line="360" w:lineRule="auto"/>
        <w:ind w:firstLineChars="200" w:firstLine="480"/>
        <w:rPr>
          <w:rFonts w:ascii="宋体" w:hAnsi="宋体"/>
          <w:bCs/>
          <w:sz w:val="24"/>
        </w:rPr>
      </w:pPr>
      <w:bookmarkStart w:id="75" w:name="_Toc79392578"/>
      <w:r>
        <w:rPr>
          <w:rFonts w:ascii="宋体" w:hAnsi="宋体" w:hint="eastAsia"/>
          <w:bCs/>
          <w:sz w:val="24"/>
        </w:rPr>
        <w:t>七</w:t>
      </w:r>
      <w:r>
        <w:rPr>
          <w:rFonts w:ascii="宋体" w:hAnsi="宋体"/>
          <w:bCs/>
          <w:sz w:val="24"/>
        </w:rPr>
        <w:t>、基金存续期限</w:t>
      </w:r>
      <w:bookmarkEnd w:id="75"/>
    </w:p>
    <w:p w14:paraId="3B7E623E"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不定期</w:t>
      </w:r>
    </w:p>
    <w:p w14:paraId="7A8BB2BF" w14:textId="77777777" w:rsidR="00166BB1" w:rsidRDefault="00166BB1">
      <w:pPr>
        <w:adjustRightInd w:val="0"/>
        <w:snapToGrid w:val="0"/>
        <w:spacing w:line="360" w:lineRule="auto"/>
        <w:ind w:firstLineChars="200" w:firstLine="480"/>
        <w:rPr>
          <w:bCs/>
          <w:sz w:val="24"/>
        </w:rPr>
      </w:pPr>
      <w:r>
        <w:rPr>
          <w:rFonts w:hint="eastAsia"/>
          <w:bCs/>
          <w:sz w:val="24"/>
        </w:rPr>
        <w:t>八、基金份额类别</w:t>
      </w:r>
    </w:p>
    <w:p w14:paraId="5C553B80" w14:textId="710DE108"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本基金将基金份额分为A类和C类两类不同的类别。</w:t>
      </w:r>
      <w:r w:rsidRPr="001F1372">
        <w:rPr>
          <w:rFonts w:ascii="宋体" w:hAnsi="宋体" w:hint="eastAsia"/>
          <w:bCs/>
          <w:sz w:val="24"/>
        </w:rPr>
        <w:t>在投资人认购、申购基金份额时收取认购、申购费用，而不从本类别基金资产中计</w:t>
      </w:r>
      <w:proofErr w:type="gramStart"/>
      <w:r w:rsidRPr="001F1372">
        <w:rPr>
          <w:rFonts w:ascii="宋体" w:hAnsi="宋体" w:hint="eastAsia"/>
          <w:bCs/>
          <w:sz w:val="24"/>
        </w:rPr>
        <w:t>提销售</w:t>
      </w:r>
      <w:proofErr w:type="gramEnd"/>
      <w:r w:rsidRPr="001F1372">
        <w:rPr>
          <w:rFonts w:ascii="宋体" w:hAnsi="宋体" w:hint="eastAsia"/>
          <w:bCs/>
          <w:sz w:val="24"/>
        </w:rPr>
        <w:t>服务费的，称为A类基金份额（其中，投资人通过基金管理人认购、申购A类基金份额的不收取认购、申购费用）。在投资人认购、申购基金份额时不收取认购、申购费用，而是从本类别基金资产中计</w:t>
      </w:r>
      <w:proofErr w:type="gramStart"/>
      <w:r w:rsidRPr="001F1372">
        <w:rPr>
          <w:rFonts w:ascii="宋体" w:hAnsi="宋体" w:hint="eastAsia"/>
          <w:bCs/>
          <w:sz w:val="24"/>
        </w:rPr>
        <w:t>提销售</w:t>
      </w:r>
      <w:proofErr w:type="gramEnd"/>
      <w:r w:rsidRPr="001F1372">
        <w:rPr>
          <w:rFonts w:ascii="宋体" w:hAnsi="宋体" w:hint="eastAsia"/>
          <w:bCs/>
          <w:sz w:val="24"/>
        </w:rPr>
        <w:t>服务费的，称为C类基金份额（其中，投资人通过基金管理人认购、申购的不收取销售服务费；投资人持续持有期限超过一年的C类基金份额，不再继续收取销售服务费）</w:t>
      </w:r>
      <w:r>
        <w:rPr>
          <w:rFonts w:ascii="宋体" w:hAnsi="宋体" w:hint="eastAsia"/>
          <w:bCs/>
          <w:sz w:val="24"/>
        </w:rPr>
        <w:t>。</w:t>
      </w:r>
    </w:p>
    <w:p w14:paraId="4CD88FEA"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lastRenderedPageBreak/>
        <w:t>本基金A类、C类基金份额分别设置代码。由于基金费用的不同，本基金各类基金份额将分别计算和公告基金份额净值。</w:t>
      </w:r>
    </w:p>
    <w:p w14:paraId="2B15EBDC"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有关基金份额类别的具体设置、费率水平等由基金管理人确定，并在招募说明书中公告。根据基金销售情况，在不违反法律法规规定和基金合同约定且对基金份额持有人利益无实质性不利影响的情况下，基金管理人在履行适当程序后可以增加新的基金份额类别、变更现有基金份额类别的申购费率、调低销售服务费率、变更收费方式、停止现有基金份额类别的销售等，基金管理人在调整实施前依照《信息披露办法》的有关规定在规定媒介上公告。</w:t>
      </w:r>
    </w:p>
    <w:p w14:paraId="03062753"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投资人在认购、申购基金份额时可自行选择基金份额类别。</w:t>
      </w:r>
    </w:p>
    <w:p w14:paraId="1E1F4ACF"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九、本基金与目标ETF的联系和区别</w:t>
      </w:r>
    </w:p>
    <w:p w14:paraId="3185AEC2" w14:textId="77777777" w:rsidR="00166BB1" w:rsidRDefault="00166BB1">
      <w:pPr>
        <w:snapToGrid w:val="0"/>
        <w:spacing w:line="360" w:lineRule="auto"/>
        <w:ind w:firstLine="480"/>
        <w:rPr>
          <w:rFonts w:ascii="宋体" w:hAnsi="宋体"/>
          <w:bCs/>
          <w:sz w:val="24"/>
        </w:rPr>
      </w:pPr>
      <w:r>
        <w:rPr>
          <w:rFonts w:ascii="宋体" w:hAnsi="宋体" w:hint="eastAsia"/>
          <w:bCs/>
          <w:sz w:val="24"/>
        </w:rPr>
        <w:t>1、本基金为目标ETF的联接基金，二者既有联系也有区别：</w:t>
      </w:r>
    </w:p>
    <w:p w14:paraId="708E24DC" w14:textId="77777777" w:rsidR="00166BB1" w:rsidRDefault="00166BB1">
      <w:pPr>
        <w:snapToGrid w:val="0"/>
        <w:spacing w:line="360" w:lineRule="auto"/>
        <w:ind w:firstLine="480"/>
        <w:rPr>
          <w:rFonts w:ascii="宋体" w:hAnsi="宋体"/>
          <w:bCs/>
          <w:sz w:val="24"/>
        </w:rPr>
      </w:pPr>
      <w:r>
        <w:rPr>
          <w:rFonts w:ascii="宋体" w:hAnsi="宋体" w:hint="eastAsia"/>
          <w:bCs/>
          <w:sz w:val="24"/>
        </w:rPr>
        <w:t>（1）在投资方法方面，目标ETF主要采取完全复制法，直接投资于标的指数的成份股及备选成份股；而本基金则采取间接的方法，通过将绝大部分基金财产投资于目标ETF，实现对业绩比较基准的紧密跟踪。</w:t>
      </w:r>
    </w:p>
    <w:p w14:paraId="18290AB4" w14:textId="77777777" w:rsidR="00166BB1" w:rsidRDefault="00166BB1">
      <w:pPr>
        <w:snapToGrid w:val="0"/>
        <w:spacing w:line="360" w:lineRule="auto"/>
        <w:ind w:firstLine="480"/>
        <w:rPr>
          <w:rFonts w:ascii="宋体" w:hAnsi="宋体"/>
          <w:bCs/>
          <w:sz w:val="24"/>
        </w:rPr>
      </w:pPr>
      <w:r>
        <w:rPr>
          <w:rFonts w:ascii="宋体" w:hAnsi="宋体" w:hint="eastAsia"/>
          <w:bCs/>
          <w:sz w:val="24"/>
        </w:rPr>
        <w:t>（2）在交易方式方面，投资人既可以在二级市场买卖目标ETF，也可以按照申购赎回清单的要求，采用份额申购和份额赎回的方式</w:t>
      </w:r>
      <w:proofErr w:type="gramStart"/>
      <w:r>
        <w:rPr>
          <w:rFonts w:ascii="宋体" w:hAnsi="宋体" w:hint="eastAsia"/>
          <w:bCs/>
          <w:sz w:val="24"/>
        </w:rPr>
        <w:t>申赎目标</w:t>
      </w:r>
      <w:proofErr w:type="gramEnd"/>
      <w:r>
        <w:rPr>
          <w:rFonts w:ascii="宋体" w:hAnsi="宋体" w:hint="eastAsia"/>
          <w:bCs/>
          <w:sz w:val="24"/>
        </w:rPr>
        <w:t>ETF或者按照目标ETF法律文件的约定以其他方式</w:t>
      </w:r>
      <w:proofErr w:type="gramStart"/>
      <w:r>
        <w:rPr>
          <w:rFonts w:ascii="宋体" w:hAnsi="宋体" w:hint="eastAsia"/>
          <w:bCs/>
          <w:sz w:val="24"/>
        </w:rPr>
        <w:t>申赎目标</w:t>
      </w:r>
      <w:proofErr w:type="gramEnd"/>
      <w:r>
        <w:rPr>
          <w:rFonts w:ascii="宋体" w:hAnsi="宋体" w:hint="eastAsia"/>
          <w:bCs/>
          <w:sz w:val="24"/>
        </w:rPr>
        <w:t>ETF；而本基金的申购与赎回则与普通的开放式基金类似，通过基金管理人及销售机构按未知价法采用金额申购、份额赎回的方式进行。</w:t>
      </w:r>
    </w:p>
    <w:p w14:paraId="798C5BC0" w14:textId="77777777" w:rsidR="00166BB1" w:rsidRDefault="00166BB1">
      <w:pPr>
        <w:snapToGrid w:val="0"/>
        <w:spacing w:line="360" w:lineRule="auto"/>
        <w:ind w:firstLine="480"/>
        <w:rPr>
          <w:rFonts w:ascii="宋体" w:hAnsi="宋体"/>
          <w:bCs/>
          <w:sz w:val="24"/>
        </w:rPr>
      </w:pPr>
      <w:r>
        <w:rPr>
          <w:rFonts w:ascii="宋体" w:hAnsi="宋体" w:hint="eastAsia"/>
          <w:bCs/>
          <w:sz w:val="24"/>
        </w:rPr>
        <w:t>（3）价格揭示机制不同。目标ETF有实时市场交易价格和每个交易日基金份额净值；本基金只揭示每个交易日基金份额净值。</w:t>
      </w:r>
    </w:p>
    <w:p w14:paraId="18A8D614" w14:textId="77777777" w:rsidR="00166BB1" w:rsidRDefault="00166BB1">
      <w:pPr>
        <w:snapToGrid w:val="0"/>
        <w:spacing w:line="360" w:lineRule="auto"/>
        <w:ind w:firstLine="480"/>
        <w:rPr>
          <w:rStyle w:val="af8"/>
          <w:lang w:val="zh-CN"/>
        </w:rPr>
      </w:pPr>
      <w:r>
        <w:rPr>
          <w:rFonts w:ascii="宋体" w:hAnsi="宋体" w:hint="eastAsia"/>
          <w:bCs/>
          <w:sz w:val="24"/>
        </w:rPr>
        <w:t>（4）申购赎回方式不同。目标ETF的投资人依据申购赎回清单，按以组合证券为主的申购对价、赎回对价进行申购赎回，申购赎回均以份额申报或者按照目标ETF法律文件的约定以其他方式</w:t>
      </w:r>
      <w:proofErr w:type="gramStart"/>
      <w:r>
        <w:rPr>
          <w:rFonts w:ascii="宋体" w:hAnsi="宋体" w:hint="eastAsia"/>
          <w:bCs/>
          <w:sz w:val="24"/>
        </w:rPr>
        <w:t>申赎目标</w:t>
      </w:r>
      <w:proofErr w:type="gramEnd"/>
      <w:r>
        <w:rPr>
          <w:rFonts w:ascii="宋体" w:hAnsi="宋体" w:hint="eastAsia"/>
          <w:bCs/>
          <w:sz w:val="24"/>
        </w:rPr>
        <w:t>ETF；本基金的投资人依据基金份额净值，以金额申购、份额赎回。</w:t>
      </w:r>
    </w:p>
    <w:p w14:paraId="20298486" w14:textId="77777777" w:rsidR="00166BB1" w:rsidRDefault="00166BB1">
      <w:pPr>
        <w:snapToGrid w:val="0"/>
        <w:spacing w:line="360" w:lineRule="auto"/>
        <w:ind w:firstLine="480"/>
        <w:rPr>
          <w:rFonts w:ascii="宋体" w:hAnsi="宋体"/>
          <w:bCs/>
          <w:sz w:val="24"/>
        </w:rPr>
      </w:pPr>
      <w:r>
        <w:rPr>
          <w:rFonts w:ascii="宋体" w:hAnsi="宋体" w:hint="eastAsia"/>
          <w:bCs/>
          <w:sz w:val="24"/>
        </w:rPr>
        <w:t>2、本基金与目标ETF业绩表现可能出现差异。可能引发差异的因素主要包括：</w:t>
      </w:r>
    </w:p>
    <w:p w14:paraId="73CDD88D" w14:textId="77777777" w:rsidR="00166BB1" w:rsidRDefault="00166BB1">
      <w:pPr>
        <w:snapToGrid w:val="0"/>
        <w:spacing w:line="360" w:lineRule="auto"/>
        <w:ind w:firstLine="480"/>
        <w:rPr>
          <w:rFonts w:ascii="宋体" w:hAnsi="宋体"/>
          <w:bCs/>
          <w:sz w:val="24"/>
        </w:rPr>
      </w:pPr>
      <w:r>
        <w:rPr>
          <w:rFonts w:ascii="宋体" w:hAnsi="宋体" w:hint="eastAsia"/>
          <w:bCs/>
          <w:sz w:val="24"/>
        </w:rPr>
        <w:t>（1）法律法规对投资比例的要求。目标ETF作为一种特殊的基金品种，可将全部或接近全部的基金资产，用于跟踪标的指数的表现；而本基金作为普通的开放式基金，每个交易日日终在扣除股指期货合约、股票期权合约和国债期货合</w:t>
      </w:r>
      <w:r>
        <w:rPr>
          <w:rFonts w:ascii="宋体" w:hAnsi="宋体" w:hint="eastAsia"/>
          <w:bCs/>
          <w:sz w:val="24"/>
        </w:rPr>
        <w:lastRenderedPageBreak/>
        <w:t>约需缴纳的交易保证金后，仍需保持不低于基金资产净值5%的现金（不包括结算备付金、存出保证金、应收申购款等）或者到期日在一年以内的政府债券。</w:t>
      </w:r>
    </w:p>
    <w:p w14:paraId="3AF98B30" w14:textId="77777777" w:rsidR="00166BB1" w:rsidRDefault="00166BB1">
      <w:pPr>
        <w:snapToGrid w:val="0"/>
        <w:spacing w:line="360" w:lineRule="auto"/>
        <w:ind w:firstLine="480"/>
        <w:rPr>
          <w:rFonts w:ascii="宋体" w:hAnsi="宋体"/>
          <w:bCs/>
          <w:sz w:val="24"/>
        </w:rPr>
      </w:pPr>
      <w:r>
        <w:rPr>
          <w:rFonts w:ascii="宋体" w:hAnsi="宋体" w:hint="eastAsia"/>
          <w:bCs/>
          <w:sz w:val="24"/>
        </w:rPr>
        <w:t>（2）申购赎回的影响。目标ETF采取</w:t>
      </w:r>
      <w:proofErr w:type="gramStart"/>
      <w:r>
        <w:rPr>
          <w:rFonts w:ascii="宋体" w:hAnsi="宋体" w:hint="eastAsia"/>
          <w:bCs/>
          <w:sz w:val="24"/>
        </w:rPr>
        <w:t>实物申赎的</w:t>
      </w:r>
      <w:proofErr w:type="gramEnd"/>
      <w:r>
        <w:rPr>
          <w:rFonts w:ascii="宋体" w:hAnsi="宋体" w:hint="eastAsia"/>
          <w:bCs/>
          <w:sz w:val="24"/>
        </w:rPr>
        <w:t>方式或者按照目标ETF法律文件的约定以其他方式</w:t>
      </w:r>
      <w:proofErr w:type="gramStart"/>
      <w:r>
        <w:rPr>
          <w:rFonts w:ascii="宋体" w:hAnsi="宋体" w:hint="eastAsia"/>
          <w:bCs/>
          <w:sz w:val="24"/>
        </w:rPr>
        <w:t>申赎目标</w:t>
      </w:r>
      <w:proofErr w:type="gramEnd"/>
      <w:r>
        <w:rPr>
          <w:rFonts w:ascii="宋体" w:hAnsi="宋体" w:hint="eastAsia"/>
          <w:bCs/>
          <w:sz w:val="24"/>
        </w:rPr>
        <w:t>ETF，申购赎回对基金净值影响较小；而本基金申购赎回采用现金方式，大额</w:t>
      </w:r>
      <w:proofErr w:type="gramStart"/>
      <w:r>
        <w:rPr>
          <w:rFonts w:ascii="宋体" w:hAnsi="宋体" w:hint="eastAsia"/>
          <w:bCs/>
          <w:sz w:val="24"/>
        </w:rPr>
        <w:t>申赎可能</w:t>
      </w:r>
      <w:proofErr w:type="gramEnd"/>
      <w:r>
        <w:rPr>
          <w:rFonts w:ascii="宋体" w:hAnsi="宋体" w:hint="eastAsia"/>
          <w:bCs/>
          <w:sz w:val="24"/>
        </w:rPr>
        <w:t>会对基金净值产生一定冲击。</w:t>
      </w:r>
    </w:p>
    <w:p w14:paraId="125D94EB" w14:textId="77777777" w:rsidR="00166BB1" w:rsidRDefault="00166BB1" w:rsidP="00AD2C2A">
      <w:pPr>
        <w:snapToGrid w:val="0"/>
        <w:spacing w:line="360" w:lineRule="auto"/>
        <w:ind w:firstLine="480"/>
        <w:rPr>
          <w:rFonts w:ascii="宋体" w:hAnsi="宋体"/>
          <w:bCs/>
          <w:sz w:val="24"/>
        </w:rPr>
      </w:pPr>
      <w:r>
        <w:rPr>
          <w:rFonts w:ascii="宋体" w:hAnsi="宋体" w:hint="eastAsia"/>
          <w:bCs/>
          <w:sz w:val="24"/>
        </w:rPr>
        <w:t>（3）投资管理方式的不同，如在指数</w:t>
      </w:r>
      <w:proofErr w:type="gramStart"/>
      <w:r>
        <w:rPr>
          <w:rFonts w:ascii="宋体" w:hAnsi="宋体" w:hint="eastAsia"/>
          <w:bCs/>
          <w:sz w:val="24"/>
        </w:rPr>
        <w:t>化投资</w:t>
      </w:r>
      <w:proofErr w:type="gramEnd"/>
      <w:r>
        <w:rPr>
          <w:rFonts w:ascii="宋体" w:hAnsi="宋体" w:hint="eastAsia"/>
          <w:bCs/>
          <w:sz w:val="24"/>
        </w:rPr>
        <w:t>过程中，不同的管理方式会导致跟踪指数的水平、技术手段、买入卖出的时机选择等的不同。</w:t>
      </w:r>
    </w:p>
    <w:p w14:paraId="2B26C51A" w14:textId="77777777" w:rsidR="00166BB1" w:rsidRDefault="00166BB1" w:rsidP="00AD2C2A">
      <w:pPr>
        <w:pStyle w:val="1"/>
        <w:snapToGrid w:val="0"/>
        <w:spacing w:before="0" w:after="0"/>
        <w:jc w:val="center"/>
        <w:rPr>
          <w:sz w:val="32"/>
        </w:rPr>
      </w:pPr>
      <w:r>
        <w:rPr>
          <w:bCs/>
          <w:kern w:val="44"/>
        </w:rPr>
        <w:br w:type="page"/>
      </w:r>
      <w:bookmarkStart w:id="76" w:name="_Toc531676871"/>
      <w:bookmarkStart w:id="77" w:name="_Toc16265"/>
      <w:bookmarkStart w:id="78" w:name="_Toc90742390"/>
      <w:bookmarkStart w:id="79" w:name="_Toc27226"/>
      <w:bookmarkStart w:id="80" w:name="_Toc6714"/>
      <w:bookmarkStart w:id="81" w:name="_Toc29784"/>
      <w:bookmarkStart w:id="82" w:name="_Toc89430559"/>
      <w:bookmarkStart w:id="83" w:name="_Toc7151"/>
      <w:bookmarkStart w:id="84" w:name="_Toc90742321"/>
      <w:bookmarkStart w:id="85" w:name="_Toc27189"/>
      <w:bookmarkStart w:id="86" w:name="_Toc29948"/>
      <w:bookmarkStart w:id="87" w:name="_Toc90742688"/>
      <w:bookmarkStart w:id="88" w:name="_Toc22074"/>
      <w:bookmarkStart w:id="89" w:name="_Toc15203"/>
      <w:bookmarkStart w:id="90" w:name="_Toc3266"/>
      <w:r w:rsidRPr="00AD2C2A">
        <w:rPr>
          <w:rFonts w:ascii="Times New Roman" w:hint="eastAsia"/>
          <w:color w:val="auto"/>
          <w:sz w:val="32"/>
        </w:rPr>
        <w:lastRenderedPageBreak/>
        <w:t>第四部分</w:t>
      </w:r>
      <w:r w:rsidRPr="00AD2C2A">
        <w:rPr>
          <w:rFonts w:ascii="Times New Roman"/>
          <w:color w:val="auto"/>
          <w:sz w:val="32"/>
        </w:rPr>
        <w:t xml:space="preserve">  </w:t>
      </w:r>
      <w:r w:rsidRPr="00AD2C2A">
        <w:rPr>
          <w:rFonts w:ascii="Times New Roman" w:hint="eastAsia"/>
          <w:color w:val="auto"/>
          <w:sz w:val="32"/>
        </w:rPr>
        <w:t>基金份额的发售</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9644619" w14:textId="77777777" w:rsidR="00166BB1" w:rsidRDefault="00166BB1">
      <w:pPr>
        <w:spacing w:line="360" w:lineRule="auto"/>
        <w:ind w:firstLineChars="200" w:firstLine="420"/>
        <w:rPr>
          <w:bCs/>
          <w:kern w:val="44"/>
        </w:rPr>
      </w:pPr>
    </w:p>
    <w:p w14:paraId="66E1E3C7"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一、基金份额的发售时间、发售方式、发售对象</w:t>
      </w:r>
    </w:p>
    <w:p w14:paraId="02EC3A10"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1、发售时间</w:t>
      </w:r>
    </w:p>
    <w:p w14:paraId="3B7C3973" w14:textId="77777777" w:rsidR="00166BB1" w:rsidRDefault="00166BB1">
      <w:pPr>
        <w:adjustRightInd w:val="0"/>
        <w:snapToGrid w:val="0"/>
        <w:spacing w:line="360" w:lineRule="auto"/>
        <w:ind w:firstLineChars="200" w:firstLine="480"/>
        <w:rPr>
          <w:rFonts w:ascii="宋体" w:hAnsi="宋体"/>
          <w:bCs/>
        </w:rPr>
      </w:pPr>
      <w:r>
        <w:rPr>
          <w:rFonts w:ascii="宋体" w:hAnsi="宋体"/>
          <w:bCs/>
          <w:sz w:val="24"/>
        </w:rPr>
        <w:t>自基金份额发售之日起最长不得超过</w:t>
      </w:r>
      <w:r>
        <w:rPr>
          <w:rFonts w:ascii="宋体" w:hAnsi="宋体" w:hint="eastAsia"/>
          <w:bCs/>
          <w:sz w:val="24"/>
        </w:rPr>
        <w:t>3</w:t>
      </w:r>
      <w:r>
        <w:rPr>
          <w:rFonts w:ascii="宋体" w:hAnsi="宋体"/>
          <w:bCs/>
          <w:sz w:val="24"/>
        </w:rPr>
        <w:t>个月，具体发售时间见</w:t>
      </w:r>
      <w:r>
        <w:rPr>
          <w:rFonts w:ascii="宋体" w:hAnsi="宋体" w:hint="eastAsia"/>
          <w:bCs/>
          <w:sz w:val="24"/>
          <w:szCs w:val="24"/>
        </w:rPr>
        <w:t>招募说明书及</w:t>
      </w:r>
      <w:r>
        <w:rPr>
          <w:rFonts w:ascii="宋体" w:hAnsi="宋体"/>
          <w:bCs/>
          <w:sz w:val="24"/>
        </w:rPr>
        <w:t>基金份额发售公告。</w:t>
      </w:r>
    </w:p>
    <w:p w14:paraId="27B4CF1E"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2、发售方式</w:t>
      </w:r>
    </w:p>
    <w:p w14:paraId="5E7A7050"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通过各销售机构的基金销售网</w:t>
      </w:r>
      <w:proofErr w:type="gramStart"/>
      <w:r>
        <w:rPr>
          <w:rFonts w:ascii="宋体" w:hAnsi="宋体" w:hint="eastAsia"/>
          <w:bCs/>
          <w:sz w:val="24"/>
        </w:rPr>
        <w:t>点公开</w:t>
      </w:r>
      <w:proofErr w:type="gramEnd"/>
      <w:r>
        <w:rPr>
          <w:rFonts w:ascii="宋体" w:hAnsi="宋体" w:hint="eastAsia"/>
          <w:bCs/>
          <w:sz w:val="24"/>
        </w:rPr>
        <w:t>发售或按基金管理人、其他销售机构提供的其他方式公开发售，各销售机构的具体名单</w:t>
      </w:r>
      <w:proofErr w:type="gramStart"/>
      <w:r>
        <w:rPr>
          <w:rFonts w:ascii="宋体" w:hAnsi="宋体" w:hint="eastAsia"/>
          <w:bCs/>
          <w:sz w:val="24"/>
        </w:rPr>
        <w:t>见基金</w:t>
      </w:r>
      <w:proofErr w:type="gramEnd"/>
      <w:r>
        <w:rPr>
          <w:rFonts w:ascii="宋体" w:hAnsi="宋体" w:hint="eastAsia"/>
          <w:bCs/>
          <w:sz w:val="24"/>
        </w:rPr>
        <w:t>份额发售公告以及基金管理人网站公示。</w:t>
      </w:r>
    </w:p>
    <w:p w14:paraId="1A3392AB"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3、发售对象</w:t>
      </w:r>
    </w:p>
    <w:p w14:paraId="478E6949"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符合法律法规规定的可投资于证券投资基金的个人投资者、机构投资者、合格境外投资者以及法律法规或中国证监会允许购买证券投资基金的其他投资人。</w:t>
      </w:r>
    </w:p>
    <w:p w14:paraId="3D69F414"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二</w:t>
      </w:r>
      <w:r>
        <w:rPr>
          <w:rFonts w:ascii="宋体" w:hAnsi="宋体"/>
          <w:bCs/>
          <w:sz w:val="24"/>
        </w:rPr>
        <w:t>、基金份额的认购</w:t>
      </w:r>
    </w:p>
    <w:p w14:paraId="24C585F3"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1、认购费用</w:t>
      </w:r>
    </w:p>
    <w:p w14:paraId="48B07738" w14:textId="77777777" w:rsidR="00166BB1" w:rsidRDefault="00166BB1" w:rsidP="00C43630">
      <w:pPr>
        <w:adjustRightInd w:val="0"/>
        <w:snapToGrid w:val="0"/>
        <w:spacing w:line="360" w:lineRule="auto"/>
        <w:ind w:firstLineChars="200" w:firstLine="480"/>
        <w:rPr>
          <w:rFonts w:ascii="宋体" w:hAnsi="宋体"/>
          <w:bCs/>
          <w:sz w:val="24"/>
        </w:rPr>
      </w:pPr>
      <w:r w:rsidRPr="003A0938">
        <w:rPr>
          <w:rFonts w:ascii="宋体" w:hAnsi="宋体" w:hint="eastAsia"/>
          <w:bCs/>
          <w:sz w:val="24"/>
        </w:rPr>
        <w:t>通过</w:t>
      </w:r>
      <w:r>
        <w:rPr>
          <w:rFonts w:ascii="宋体" w:hAnsi="宋体" w:hint="eastAsia"/>
          <w:bCs/>
          <w:sz w:val="24"/>
        </w:rPr>
        <w:t>基金管理人</w:t>
      </w:r>
      <w:r w:rsidRPr="003A0938">
        <w:rPr>
          <w:rFonts w:ascii="宋体" w:hAnsi="宋体" w:hint="eastAsia"/>
          <w:bCs/>
          <w:sz w:val="24"/>
        </w:rPr>
        <w:t>认购本</w:t>
      </w:r>
      <w:proofErr w:type="gramStart"/>
      <w:r w:rsidRPr="003A0938">
        <w:rPr>
          <w:rFonts w:ascii="宋体" w:hAnsi="宋体" w:hint="eastAsia"/>
          <w:bCs/>
          <w:sz w:val="24"/>
        </w:rPr>
        <w:t>基金基金</w:t>
      </w:r>
      <w:proofErr w:type="gramEnd"/>
      <w:r w:rsidRPr="003A0938">
        <w:rPr>
          <w:rFonts w:ascii="宋体" w:hAnsi="宋体" w:hint="eastAsia"/>
          <w:bCs/>
          <w:sz w:val="24"/>
        </w:rPr>
        <w:t>份额的，不收取认购费。</w:t>
      </w:r>
    </w:p>
    <w:p w14:paraId="34DA852C" w14:textId="77777777" w:rsidR="00166BB1" w:rsidRDefault="00166BB1" w:rsidP="00C43630">
      <w:pPr>
        <w:adjustRightInd w:val="0"/>
        <w:snapToGrid w:val="0"/>
        <w:spacing w:line="360" w:lineRule="auto"/>
        <w:ind w:firstLineChars="200" w:firstLine="480"/>
        <w:rPr>
          <w:rFonts w:ascii="宋体" w:hAnsi="宋体"/>
          <w:bCs/>
          <w:sz w:val="24"/>
        </w:rPr>
      </w:pPr>
      <w:r w:rsidRPr="003A0938">
        <w:rPr>
          <w:rFonts w:ascii="宋体" w:hAnsi="宋体" w:hint="eastAsia"/>
          <w:bCs/>
          <w:sz w:val="24"/>
        </w:rPr>
        <w:t>通过</w:t>
      </w:r>
      <w:r>
        <w:rPr>
          <w:rFonts w:ascii="宋体" w:hAnsi="宋体" w:hint="eastAsia"/>
          <w:bCs/>
          <w:sz w:val="24"/>
        </w:rPr>
        <w:t>其他销售</w:t>
      </w:r>
      <w:r w:rsidRPr="003A0938">
        <w:rPr>
          <w:rFonts w:ascii="宋体" w:hAnsi="宋体" w:hint="eastAsia"/>
          <w:bCs/>
          <w:sz w:val="24"/>
        </w:rPr>
        <w:t>机构认购本</w:t>
      </w:r>
      <w:proofErr w:type="gramStart"/>
      <w:r w:rsidRPr="003A0938">
        <w:rPr>
          <w:rFonts w:ascii="宋体" w:hAnsi="宋体" w:hint="eastAsia"/>
          <w:bCs/>
          <w:sz w:val="24"/>
        </w:rPr>
        <w:t>基金基金</w:t>
      </w:r>
      <w:proofErr w:type="gramEnd"/>
      <w:r w:rsidRPr="003A0938">
        <w:rPr>
          <w:rFonts w:ascii="宋体" w:hAnsi="宋体" w:hint="eastAsia"/>
          <w:bCs/>
          <w:sz w:val="24"/>
        </w:rPr>
        <w:t>份额的，</w:t>
      </w:r>
      <w:r>
        <w:rPr>
          <w:rFonts w:ascii="宋体" w:hAnsi="宋体" w:hint="eastAsia"/>
          <w:bCs/>
          <w:sz w:val="24"/>
        </w:rPr>
        <w:t>本基金A类基金份额收取认购费用，认购费率由基金管理人决定，并在招募说明书及基金产品资料概要中列示。基金认购费用由认购本基金A类基金份额的投资人承担，不列入基金财产。本基金C类基金份额不收取认购费用。</w:t>
      </w:r>
    </w:p>
    <w:p w14:paraId="3E33BD0E"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2、募集期利息的处理方式</w:t>
      </w:r>
    </w:p>
    <w:p w14:paraId="61E89448" w14:textId="77777777" w:rsidR="00166BB1" w:rsidRDefault="00166BB1">
      <w:pPr>
        <w:adjustRightInd w:val="0"/>
        <w:snapToGrid w:val="0"/>
        <w:spacing w:line="360" w:lineRule="auto"/>
        <w:ind w:firstLineChars="200" w:firstLine="480"/>
        <w:rPr>
          <w:rFonts w:ascii="黑体" w:hAnsi="黑体"/>
          <w:bCs/>
          <w:sz w:val="24"/>
        </w:rPr>
      </w:pPr>
      <w:r>
        <w:rPr>
          <w:rFonts w:ascii="黑体" w:hAnsi="黑体" w:hint="eastAsia"/>
          <w:bCs/>
          <w:sz w:val="24"/>
        </w:rPr>
        <w:t>有效认购款项在募集期间产生的利息将折算为相应类别的基金份额</w:t>
      </w:r>
      <w:proofErr w:type="gramStart"/>
      <w:r>
        <w:rPr>
          <w:rFonts w:ascii="黑体" w:hAnsi="黑体" w:hint="eastAsia"/>
          <w:bCs/>
          <w:sz w:val="24"/>
        </w:rPr>
        <w:t>归基金</w:t>
      </w:r>
      <w:proofErr w:type="gramEnd"/>
      <w:r>
        <w:rPr>
          <w:rFonts w:ascii="黑体" w:hAnsi="黑体" w:hint="eastAsia"/>
          <w:bCs/>
          <w:sz w:val="24"/>
        </w:rPr>
        <w:t>份额持有人所有，计入基金份额持有人的基金账户，其中利息转份额的具体数额以登记机构的记录为准。</w:t>
      </w:r>
    </w:p>
    <w:p w14:paraId="328D71F6"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3、基金认购份额的计算</w:t>
      </w:r>
    </w:p>
    <w:p w14:paraId="7759C21B"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基金认购份额具体的计算方法在招募说明书中列示。</w:t>
      </w:r>
    </w:p>
    <w:p w14:paraId="49787A8C"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w:t>
      </w:r>
      <w:r>
        <w:rPr>
          <w:rFonts w:ascii="宋体" w:hAnsi="宋体"/>
          <w:bCs/>
          <w:sz w:val="24"/>
        </w:rPr>
        <w:t>认购份额余额的处理方式</w:t>
      </w:r>
    </w:p>
    <w:p w14:paraId="2E0226B3"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基金认购份额余额的处理方式详见招募说明书。</w:t>
      </w:r>
    </w:p>
    <w:p w14:paraId="239372B4"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5、认购申请的确认</w:t>
      </w:r>
    </w:p>
    <w:p w14:paraId="6AA4166A"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lastRenderedPageBreak/>
        <w:t>销售机构对认购申请的受理并不代表该申请一定成功，而仅代表销售机构确实接收到认购申请。认购申请的确认以登记机构的确认结果为准。对于认购申请及认购份额的确认情况，投资人应及时查询并妥善行使合法权利，否则，由于投资人</w:t>
      </w:r>
      <w:proofErr w:type="gramStart"/>
      <w:r>
        <w:rPr>
          <w:rFonts w:ascii="宋体" w:hAnsi="宋体" w:hint="eastAsia"/>
          <w:bCs/>
          <w:sz w:val="24"/>
        </w:rPr>
        <w:t>怠</w:t>
      </w:r>
      <w:proofErr w:type="gramEnd"/>
      <w:r>
        <w:rPr>
          <w:rFonts w:ascii="宋体" w:hAnsi="宋体" w:hint="eastAsia"/>
          <w:bCs/>
          <w:sz w:val="24"/>
        </w:rPr>
        <w:t>于查询而产生的投资人任何损失由投资人自行承担。</w:t>
      </w:r>
    </w:p>
    <w:p w14:paraId="33FCD519"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三、</w:t>
      </w:r>
      <w:r>
        <w:rPr>
          <w:rFonts w:ascii="宋体" w:hAnsi="宋体"/>
          <w:bCs/>
          <w:sz w:val="24"/>
        </w:rPr>
        <w:t>基金份额认购金额的限制</w:t>
      </w:r>
    </w:p>
    <w:p w14:paraId="0587EBD7"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1、投资人认购时，需按销售机构规定的方式全额缴款。</w:t>
      </w:r>
    </w:p>
    <w:p w14:paraId="4A6F3CB8"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2、基金管理人可以对每个基金交易账户的单笔认购金额进行限制，具体限制请参看招募说明书或基金管理人相关公告。</w:t>
      </w:r>
    </w:p>
    <w:p w14:paraId="28793FBA"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3、基金管理人可以对募集期间的单个投资人的累计认购金额进行限制，具体限制和处理方法请参看招募说明书或基金管理人相关公告。</w:t>
      </w:r>
    </w:p>
    <w:p w14:paraId="4E8E9717" w14:textId="77777777" w:rsidR="00166BB1" w:rsidRDefault="00166BB1">
      <w:pPr>
        <w:adjustRightInd w:val="0"/>
        <w:snapToGrid w:val="0"/>
        <w:spacing w:line="360" w:lineRule="auto"/>
        <w:ind w:firstLineChars="200" w:firstLine="480"/>
        <w:rPr>
          <w:rFonts w:ascii="黑体" w:hAnsi="黑体"/>
          <w:bCs/>
          <w:sz w:val="24"/>
        </w:rPr>
      </w:pPr>
      <w:r w:rsidRPr="00AD2C2A">
        <w:rPr>
          <w:rFonts w:ascii="宋体" w:hAnsi="宋体"/>
          <w:bCs/>
          <w:sz w:val="24"/>
        </w:rPr>
        <w:t>4</w:t>
      </w:r>
      <w:r w:rsidRPr="00AD2C2A">
        <w:rPr>
          <w:rFonts w:ascii="宋体" w:hAnsi="宋体" w:hint="eastAsia"/>
          <w:bCs/>
          <w:sz w:val="24"/>
        </w:rPr>
        <w:t>、</w:t>
      </w:r>
      <w:r>
        <w:rPr>
          <w:rFonts w:ascii="黑体" w:hAnsi="黑体" w:hint="eastAsia"/>
          <w:bCs/>
          <w:sz w:val="24"/>
        </w:rPr>
        <w:t>投资人在募集期内可以多次认购基金份额，</w:t>
      </w:r>
      <w:r>
        <w:rPr>
          <w:rFonts w:asciiTheme="minorEastAsia" w:eastAsiaTheme="minorEastAsia" w:hAnsiTheme="minorEastAsia" w:hint="eastAsia"/>
          <w:bCs/>
          <w:sz w:val="24"/>
        </w:rPr>
        <w:t>A</w:t>
      </w:r>
      <w:r>
        <w:rPr>
          <w:rFonts w:ascii="黑体" w:hAnsi="黑体" w:hint="eastAsia"/>
          <w:bCs/>
          <w:sz w:val="24"/>
        </w:rPr>
        <w:t>类基金份额认购费按每笔认购申请单独计算。已受理的认购申请不允许撤销。</w:t>
      </w:r>
    </w:p>
    <w:p w14:paraId="4F4722FF" w14:textId="77777777" w:rsidR="00166BB1" w:rsidRDefault="00166BB1">
      <w:pPr>
        <w:pStyle w:val="1"/>
        <w:spacing w:before="0" w:after="0"/>
        <w:jc w:val="center"/>
        <w:rPr>
          <w:rFonts w:ascii="Times New Roman"/>
          <w:color w:val="auto"/>
          <w:sz w:val="32"/>
        </w:rPr>
      </w:pPr>
      <w:r>
        <w:rPr>
          <w:rFonts w:ascii="Times New Roman"/>
          <w:b w:val="0"/>
          <w:bCs/>
          <w:color w:val="auto"/>
          <w:kern w:val="44"/>
          <w:sz w:val="21"/>
        </w:rPr>
        <w:br w:type="page"/>
      </w:r>
      <w:bookmarkStart w:id="91" w:name="_Toc141703885"/>
      <w:bookmarkStart w:id="92" w:name="_Toc531676872"/>
      <w:bookmarkStart w:id="93" w:name="_Toc21988"/>
      <w:bookmarkStart w:id="94" w:name="_Toc26986"/>
      <w:bookmarkStart w:id="95" w:name="_Toc4741"/>
      <w:bookmarkStart w:id="96" w:name="_Toc89430560"/>
      <w:bookmarkStart w:id="97" w:name="_Toc18797"/>
      <w:bookmarkStart w:id="98" w:name="_Toc18329"/>
      <w:bookmarkStart w:id="99" w:name="_Toc1823"/>
      <w:bookmarkStart w:id="100" w:name="_Toc17912"/>
      <w:bookmarkStart w:id="101" w:name="_Toc18526"/>
      <w:bookmarkStart w:id="102" w:name="_Toc7848"/>
      <w:bookmarkStart w:id="103" w:name="_Toc14893"/>
      <w:bookmarkStart w:id="104" w:name="_Toc139991735"/>
      <w:r>
        <w:rPr>
          <w:rFonts w:ascii="Times New Roman"/>
          <w:color w:val="auto"/>
          <w:sz w:val="32"/>
        </w:rPr>
        <w:lastRenderedPageBreak/>
        <w:t>第五部分</w:t>
      </w:r>
      <w:r>
        <w:rPr>
          <w:rFonts w:ascii="Times New Roman" w:hint="eastAsia"/>
          <w:color w:val="auto"/>
          <w:sz w:val="32"/>
        </w:rPr>
        <w:t xml:space="preserve">  </w:t>
      </w:r>
      <w:r>
        <w:rPr>
          <w:rFonts w:ascii="Times New Roman"/>
          <w:color w:val="auto"/>
          <w:sz w:val="32"/>
        </w:rPr>
        <w:t>基金备案</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77168213" w14:textId="77777777" w:rsidR="00166BB1" w:rsidRDefault="00166BB1">
      <w:pPr>
        <w:spacing w:line="360" w:lineRule="auto"/>
        <w:ind w:firstLine="540"/>
        <w:rPr>
          <w:bCs/>
          <w:sz w:val="24"/>
        </w:rPr>
      </w:pPr>
    </w:p>
    <w:p w14:paraId="35891341"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一、基金备案的条件</w:t>
      </w:r>
    </w:p>
    <w:p w14:paraId="66B4844B"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本基金自基金份额发售之日起3个月内，在基金募集份额总额不少于2亿份，基金募集金额不少于2亿元人民币</w:t>
      </w:r>
      <w:proofErr w:type="gramStart"/>
      <w:r>
        <w:rPr>
          <w:rFonts w:ascii="宋体" w:hAnsi="宋体" w:hint="eastAsia"/>
          <w:bCs/>
          <w:sz w:val="24"/>
        </w:rPr>
        <w:t>且基金</w:t>
      </w:r>
      <w:proofErr w:type="gramEnd"/>
      <w:r>
        <w:rPr>
          <w:rFonts w:ascii="宋体" w:hAnsi="宋体" w:hint="eastAsia"/>
          <w:bCs/>
          <w:sz w:val="24"/>
        </w:rPr>
        <w:t>认购人数不少于200人的条件下，基金募集期届满或基金管理人依据法律法规及招募说明书可以决定停止基金发售，并在10日内聘请法定验资机构验资，自收到验资报告之日起10日内，向中国证监会办理基金备案手续。</w:t>
      </w:r>
    </w:p>
    <w:p w14:paraId="36442FBA"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70E7BD6C"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二、基金合同不能生效时募集资金的处理方式</w:t>
      </w:r>
    </w:p>
    <w:p w14:paraId="055AC3AF"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如果募集期限届满，未满足基金备案条件，基金管理人应当承担下列责任：</w:t>
      </w:r>
    </w:p>
    <w:p w14:paraId="0611D656"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1、以其固有财产承担因募集行为而产生的债务和费用；</w:t>
      </w:r>
    </w:p>
    <w:p w14:paraId="755858D6"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2、在基金募集期限届满后30日内返还投资人已交纳的款项，并加计银行同期活期存款利息（税后）；</w:t>
      </w:r>
    </w:p>
    <w:p w14:paraId="59550167"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3、如基金募集失败，基金管理人、基金托管人及</w:t>
      </w:r>
      <w:r>
        <w:rPr>
          <w:rFonts w:ascii="宋体" w:hAnsi="宋体" w:hint="eastAsia"/>
          <w:bCs/>
          <w:sz w:val="24"/>
        </w:rPr>
        <w:t>销售</w:t>
      </w:r>
      <w:r>
        <w:rPr>
          <w:rFonts w:ascii="宋体" w:hAnsi="宋体"/>
          <w:bCs/>
          <w:sz w:val="24"/>
        </w:rPr>
        <w:t>机构不得请求报酬。基金管理人、基金托管人和</w:t>
      </w:r>
      <w:r>
        <w:rPr>
          <w:rFonts w:ascii="宋体" w:hAnsi="宋体" w:hint="eastAsia"/>
          <w:bCs/>
          <w:sz w:val="24"/>
        </w:rPr>
        <w:t>销售</w:t>
      </w:r>
      <w:r>
        <w:rPr>
          <w:rFonts w:ascii="宋体" w:hAnsi="宋体"/>
          <w:bCs/>
          <w:sz w:val="24"/>
        </w:rPr>
        <w:t>机构为基金募集支付之一切费用应由各方各自承担。</w:t>
      </w:r>
    </w:p>
    <w:p w14:paraId="2D23A968"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三、基金存续期内的基金份额持有人数量和资产规模</w:t>
      </w:r>
    </w:p>
    <w:p w14:paraId="4C26BE37" w14:textId="77777777" w:rsidR="00166BB1" w:rsidRDefault="00166BB1">
      <w:pPr>
        <w:adjustRightInd w:val="0"/>
        <w:snapToGrid w:val="0"/>
        <w:spacing w:line="360" w:lineRule="auto"/>
        <w:ind w:firstLineChars="200" w:firstLine="480"/>
        <w:rPr>
          <w:rFonts w:ascii="宋体" w:hAnsi="宋体"/>
          <w:bCs/>
          <w:color w:val="000000"/>
          <w:kern w:val="0"/>
          <w:sz w:val="24"/>
        </w:rPr>
      </w:pPr>
      <w:r>
        <w:rPr>
          <w:rFonts w:ascii="宋体" w:hAnsi="宋体" w:hint="eastAsia"/>
          <w:bCs/>
          <w:color w:val="000000"/>
          <w:kern w:val="0"/>
          <w:sz w:val="24"/>
        </w:rPr>
        <w:t>《基金合同》生效后，连续20个工作日出现基金份额持有人数量不满200人或者基金资产净值低于5,000万元情形的，基金管理人应当在定期报告中予以披露；连续60个工作日出现前述情形的，基金管理人应当在10个工作日内向中国证监会报告并提出解决方案，如转换运作方式、与其他基金合并或者终止基金合同等，并于6个月内召集基金份额持有人大会。</w:t>
      </w:r>
    </w:p>
    <w:p w14:paraId="055C301B" w14:textId="77777777" w:rsidR="00166BB1" w:rsidRDefault="00166BB1">
      <w:pPr>
        <w:adjustRightInd w:val="0"/>
        <w:snapToGrid w:val="0"/>
        <w:spacing w:line="360" w:lineRule="auto"/>
        <w:ind w:firstLineChars="200" w:firstLine="480"/>
        <w:rPr>
          <w:rFonts w:ascii="宋体" w:hAnsi="宋体"/>
          <w:bCs/>
          <w:color w:val="000000"/>
          <w:kern w:val="0"/>
          <w:sz w:val="24"/>
        </w:rPr>
      </w:pPr>
      <w:r>
        <w:rPr>
          <w:rFonts w:ascii="宋体" w:hAnsi="宋体" w:hint="eastAsia"/>
          <w:bCs/>
          <w:color w:val="000000"/>
          <w:kern w:val="0"/>
          <w:sz w:val="24"/>
        </w:rPr>
        <w:t>法律法规或中国证监会另有规定时，从其规定。</w:t>
      </w:r>
    </w:p>
    <w:p w14:paraId="3CAE3368" w14:textId="77777777" w:rsidR="00166BB1" w:rsidRDefault="00166BB1">
      <w:pPr>
        <w:pStyle w:val="1"/>
        <w:spacing w:before="0" w:after="0"/>
        <w:jc w:val="center"/>
        <w:rPr>
          <w:rFonts w:ascii="Times New Roman"/>
          <w:color w:val="auto"/>
          <w:sz w:val="32"/>
        </w:rPr>
      </w:pPr>
      <w:r>
        <w:rPr>
          <w:bCs/>
        </w:rPr>
        <w:br w:type="page"/>
      </w:r>
      <w:bookmarkStart w:id="105" w:name="_Toc4003"/>
      <w:bookmarkStart w:id="106" w:name="_Toc531676873"/>
      <w:bookmarkStart w:id="107" w:name="_Toc10463"/>
      <w:bookmarkStart w:id="108" w:name="_Toc123102453"/>
      <w:bookmarkStart w:id="109" w:name="_Toc23261"/>
      <w:bookmarkStart w:id="110" w:name="_Toc1270"/>
      <w:bookmarkStart w:id="111" w:name="_Toc139991736"/>
      <w:bookmarkStart w:id="112" w:name="_Toc17244"/>
      <w:bookmarkStart w:id="113" w:name="_Toc610"/>
      <w:bookmarkStart w:id="114" w:name="_Toc23822"/>
      <w:bookmarkStart w:id="115" w:name="_Toc48649707"/>
      <w:bookmarkStart w:id="116" w:name="_Toc7920"/>
      <w:bookmarkStart w:id="117" w:name="_Toc20733"/>
      <w:bookmarkStart w:id="118" w:name="_Toc79392606"/>
      <w:bookmarkStart w:id="119" w:name="_Toc141703886"/>
      <w:bookmarkStart w:id="120" w:name="_Toc123051452"/>
      <w:bookmarkStart w:id="121" w:name="_Toc89430561"/>
      <w:bookmarkStart w:id="122" w:name="_Toc98560352"/>
      <w:bookmarkStart w:id="123" w:name="_Toc1427"/>
      <w:bookmarkStart w:id="124" w:name="_Toc123112234"/>
      <w:r>
        <w:rPr>
          <w:rFonts w:ascii="Times New Roman"/>
          <w:color w:val="auto"/>
          <w:sz w:val="32"/>
        </w:rPr>
        <w:lastRenderedPageBreak/>
        <w:t>第</w:t>
      </w:r>
      <w:r>
        <w:rPr>
          <w:rFonts w:ascii="Times New Roman" w:hint="eastAsia"/>
          <w:color w:val="auto"/>
          <w:sz w:val="32"/>
        </w:rPr>
        <w:t>六</w:t>
      </w:r>
      <w:r>
        <w:rPr>
          <w:rFonts w:ascii="Times New Roman"/>
          <w:color w:val="auto"/>
          <w:sz w:val="32"/>
        </w:rPr>
        <w:t>部分</w:t>
      </w:r>
      <w:r>
        <w:rPr>
          <w:rFonts w:ascii="Times New Roman" w:hint="eastAsia"/>
          <w:color w:val="auto"/>
          <w:sz w:val="32"/>
        </w:rPr>
        <w:t xml:space="preserve">  </w:t>
      </w:r>
      <w:r>
        <w:rPr>
          <w:rFonts w:ascii="Times New Roman"/>
          <w:color w:val="auto"/>
          <w:sz w:val="32"/>
        </w:rPr>
        <w:t>基金份额的申购与赎回</w:t>
      </w:r>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01F6EE15" w14:textId="77777777" w:rsidR="00166BB1" w:rsidRDefault="00166BB1">
      <w:pPr>
        <w:spacing w:line="360" w:lineRule="auto"/>
        <w:ind w:firstLine="540"/>
        <w:rPr>
          <w:bCs/>
          <w:sz w:val="24"/>
        </w:rPr>
      </w:pPr>
    </w:p>
    <w:p w14:paraId="7918522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w:t>
      </w:r>
      <w:r>
        <w:rPr>
          <w:rFonts w:ascii="宋体" w:hAnsi="宋体"/>
          <w:bCs/>
          <w:sz w:val="24"/>
          <w:szCs w:val="24"/>
        </w:rPr>
        <w:t>、申购和赎回场所</w:t>
      </w:r>
    </w:p>
    <w:p w14:paraId="35156B2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本基金的申购与赎回将通过销售机构进行。具体的销售机构将由基金管理人在招募说明书中列明或在基金管理人网站公示。基金管理人可根据情况变更或增减销售机构，并在基金管理人网站公示。</w:t>
      </w:r>
      <w:proofErr w:type="gramStart"/>
      <w:r>
        <w:rPr>
          <w:rFonts w:ascii="宋体" w:hAnsi="宋体" w:hint="eastAsia"/>
          <w:bCs/>
          <w:sz w:val="24"/>
          <w:szCs w:val="24"/>
        </w:rPr>
        <w:t>若基金</w:t>
      </w:r>
      <w:proofErr w:type="gramEnd"/>
      <w:r>
        <w:rPr>
          <w:rFonts w:ascii="宋体" w:hAnsi="宋体" w:hint="eastAsia"/>
          <w:bCs/>
          <w:sz w:val="24"/>
          <w:szCs w:val="24"/>
        </w:rPr>
        <w:t>管理人或其指定的销售机构开通电话、传真或网上等交易方式，投资人可通过上述方式进行申购与赎回。基金投资人应当在销售机构办理基金销售业务的营业场所或按销售机构提供的其他方式办理基金份额的申购与赎回。</w:t>
      </w:r>
    </w:p>
    <w:p w14:paraId="11BDA49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w:t>
      </w:r>
      <w:r>
        <w:rPr>
          <w:rFonts w:ascii="宋体" w:hAnsi="宋体"/>
          <w:bCs/>
          <w:sz w:val="24"/>
          <w:szCs w:val="24"/>
        </w:rPr>
        <w:t>、申购和赎回的开放日及时间</w:t>
      </w:r>
    </w:p>
    <w:p w14:paraId="33602FB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开放日及开放时间</w:t>
      </w:r>
    </w:p>
    <w:p w14:paraId="0C143B4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投资人在开放日办理基金份额的申购和赎回，</w:t>
      </w:r>
      <w:r>
        <w:rPr>
          <w:rFonts w:ascii="宋体" w:hAnsi="宋体" w:hint="eastAsia"/>
          <w:bCs/>
          <w:sz w:val="24"/>
          <w:szCs w:val="24"/>
        </w:rPr>
        <w:t>开放日的</w:t>
      </w:r>
      <w:r>
        <w:rPr>
          <w:rFonts w:ascii="宋体" w:hAnsi="宋体"/>
          <w:bCs/>
          <w:sz w:val="24"/>
          <w:szCs w:val="24"/>
        </w:rPr>
        <w:t>具体</w:t>
      </w:r>
      <w:r>
        <w:rPr>
          <w:rFonts w:ascii="宋体" w:hAnsi="宋体" w:hint="eastAsia"/>
          <w:bCs/>
          <w:sz w:val="24"/>
          <w:szCs w:val="24"/>
        </w:rPr>
        <w:t>业务</w:t>
      </w:r>
      <w:r>
        <w:rPr>
          <w:rFonts w:ascii="宋体" w:hAnsi="宋体"/>
          <w:bCs/>
          <w:sz w:val="24"/>
          <w:szCs w:val="24"/>
        </w:rPr>
        <w:t>办理时间为上海证券交易所、深圳证券交易所的正常交易日的交易时间，但基金管理人根据法律法规、中国证监会的要求或本基金合同的规定公告暂停申购、赎回时除外。</w:t>
      </w:r>
    </w:p>
    <w:p w14:paraId="7F33EA6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基金合同生效后，若出现</w:t>
      </w:r>
      <w:r>
        <w:rPr>
          <w:rFonts w:ascii="宋体" w:hAnsi="宋体" w:hint="eastAsia"/>
          <w:bCs/>
          <w:sz w:val="24"/>
          <w:szCs w:val="24"/>
        </w:rPr>
        <w:t>不可抗力、</w:t>
      </w:r>
      <w:r>
        <w:rPr>
          <w:rFonts w:ascii="宋体" w:hAnsi="宋体"/>
          <w:bCs/>
          <w:sz w:val="24"/>
          <w:szCs w:val="24"/>
        </w:rPr>
        <w:t>新的证券</w:t>
      </w:r>
      <w:r>
        <w:rPr>
          <w:rFonts w:ascii="宋体" w:hAnsi="宋体" w:hint="eastAsia"/>
          <w:bCs/>
          <w:sz w:val="24"/>
          <w:szCs w:val="24"/>
        </w:rPr>
        <w:t>/期货</w:t>
      </w:r>
      <w:r>
        <w:rPr>
          <w:rFonts w:ascii="宋体" w:hAnsi="宋体"/>
          <w:bCs/>
          <w:sz w:val="24"/>
          <w:szCs w:val="24"/>
        </w:rPr>
        <w:t>交易市场、证券</w:t>
      </w:r>
      <w:r>
        <w:rPr>
          <w:rFonts w:ascii="宋体" w:hAnsi="宋体" w:hint="eastAsia"/>
          <w:bCs/>
          <w:sz w:val="24"/>
          <w:szCs w:val="24"/>
        </w:rPr>
        <w:t>/期货</w:t>
      </w:r>
      <w:r>
        <w:rPr>
          <w:rFonts w:ascii="宋体" w:hAnsi="宋体"/>
          <w:bCs/>
          <w:sz w:val="24"/>
          <w:szCs w:val="24"/>
        </w:rPr>
        <w:t>交易所交易时间变更</w:t>
      </w:r>
      <w:r>
        <w:rPr>
          <w:rFonts w:ascii="宋体" w:hAnsi="宋体" w:hint="eastAsia"/>
          <w:bCs/>
          <w:sz w:val="24"/>
          <w:szCs w:val="24"/>
        </w:rPr>
        <w:t>、</w:t>
      </w:r>
      <w:r>
        <w:rPr>
          <w:rFonts w:ascii="宋体" w:hAnsi="宋体"/>
          <w:bCs/>
          <w:sz w:val="24"/>
          <w:szCs w:val="24"/>
        </w:rPr>
        <w:t>其他特殊情况</w:t>
      </w:r>
      <w:r>
        <w:rPr>
          <w:rFonts w:ascii="宋体" w:hAnsi="宋体" w:hint="eastAsia"/>
          <w:bCs/>
          <w:sz w:val="24"/>
          <w:szCs w:val="24"/>
        </w:rPr>
        <w:t>或根据业务需要</w:t>
      </w:r>
      <w:r>
        <w:rPr>
          <w:rFonts w:ascii="宋体" w:hAnsi="宋体"/>
          <w:bCs/>
          <w:sz w:val="24"/>
          <w:szCs w:val="24"/>
        </w:rPr>
        <w:t>，基金管理人</w:t>
      </w:r>
      <w:r>
        <w:rPr>
          <w:rFonts w:ascii="宋体" w:hAnsi="宋体" w:hint="eastAsia"/>
          <w:bCs/>
          <w:sz w:val="24"/>
          <w:szCs w:val="24"/>
        </w:rPr>
        <w:t>有权</w:t>
      </w:r>
      <w:r>
        <w:rPr>
          <w:rFonts w:ascii="宋体" w:hAnsi="宋体"/>
          <w:bCs/>
          <w:sz w:val="24"/>
          <w:szCs w:val="24"/>
        </w:rPr>
        <w:t>视情况对前述开放日及开放时间进行相应的调整，但应在实施日前依照《信息披露办法》的有关规定在规定媒介上公告。</w:t>
      </w:r>
    </w:p>
    <w:p w14:paraId="05B4BE8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申购、赎回开始日及业务办理时间</w:t>
      </w:r>
    </w:p>
    <w:p w14:paraId="01FCEDD3" w14:textId="77777777" w:rsidR="00166BB1" w:rsidRDefault="00166BB1">
      <w:pPr>
        <w:adjustRightInd w:val="0"/>
        <w:snapToGrid w:val="0"/>
        <w:spacing w:line="360" w:lineRule="auto"/>
        <w:ind w:firstLineChars="200" w:firstLine="480"/>
        <w:rPr>
          <w:sz w:val="24"/>
          <w:szCs w:val="24"/>
        </w:rPr>
      </w:pPr>
      <w:r>
        <w:rPr>
          <w:rFonts w:hint="eastAsia"/>
          <w:sz w:val="24"/>
          <w:szCs w:val="24"/>
        </w:rPr>
        <w:t>基金管理人自基金合同生效之日起不超过</w:t>
      </w:r>
      <w:r>
        <w:rPr>
          <w:rFonts w:hint="eastAsia"/>
          <w:sz w:val="24"/>
          <w:szCs w:val="24"/>
        </w:rPr>
        <w:t>3</w:t>
      </w:r>
      <w:r>
        <w:rPr>
          <w:rFonts w:hint="eastAsia"/>
          <w:sz w:val="24"/>
          <w:szCs w:val="24"/>
        </w:rPr>
        <w:t>个月开始办理申购</w:t>
      </w:r>
      <w:r>
        <w:rPr>
          <w:sz w:val="24"/>
          <w:szCs w:val="24"/>
        </w:rPr>
        <w:t>，具体业务办理时间在申购开始公告中规定。</w:t>
      </w:r>
    </w:p>
    <w:p w14:paraId="5F3C696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基金管理人自基金合同生效之日起不超过3个月开始办理赎回，具体业务办理时间在赎回开始公告中规定。</w:t>
      </w:r>
    </w:p>
    <w:p w14:paraId="2BA485A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在确定申购开始</w:t>
      </w:r>
      <w:r>
        <w:rPr>
          <w:rFonts w:ascii="宋体" w:hAnsi="宋体" w:hint="eastAsia"/>
          <w:bCs/>
          <w:sz w:val="24"/>
          <w:szCs w:val="24"/>
        </w:rPr>
        <w:t>或</w:t>
      </w:r>
      <w:r>
        <w:rPr>
          <w:rFonts w:ascii="宋体" w:hAnsi="宋体"/>
          <w:bCs/>
          <w:sz w:val="24"/>
          <w:szCs w:val="24"/>
        </w:rPr>
        <w:t>赎回开始时间后，基金管理人应在申购、赎回开放日前依照《信息披露办法》的有关规定在规定媒介上公告申购</w:t>
      </w:r>
      <w:r>
        <w:rPr>
          <w:rFonts w:ascii="宋体" w:hAnsi="宋体" w:hint="eastAsia"/>
          <w:bCs/>
          <w:sz w:val="24"/>
          <w:szCs w:val="24"/>
        </w:rPr>
        <w:t>或</w:t>
      </w:r>
      <w:r>
        <w:rPr>
          <w:rFonts w:ascii="宋体" w:hAnsi="宋体"/>
          <w:bCs/>
          <w:sz w:val="24"/>
          <w:szCs w:val="24"/>
        </w:rPr>
        <w:t>赎回的开始时间。</w:t>
      </w:r>
    </w:p>
    <w:p w14:paraId="61A79A4D" w14:textId="77777777" w:rsidR="00166BB1" w:rsidRDefault="00166BB1">
      <w:pPr>
        <w:adjustRightInd w:val="0"/>
        <w:snapToGrid w:val="0"/>
        <w:spacing w:line="360" w:lineRule="auto"/>
        <w:ind w:firstLineChars="200" w:firstLine="480"/>
        <w:rPr>
          <w:rFonts w:ascii="黑体" w:hAnsi="黑体"/>
          <w:bCs/>
          <w:sz w:val="24"/>
          <w:szCs w:val="24"/>
        </w:rPr>
      </w:pPr>
      <w:r>
        <w:rPr>
          <w:rFonts w:ascii="黑体" w:hAnsi="黑体"/>
          <w:bCs/>
          <w:sz w:val="24"/>
          <w:szCs w:val="24"/>
        </w:rPr>
        <w:t>基金管理人不得在基金合同约定之外的日期或者时间办理基金份额的申购</w:t>
      </w:r>
      <w:r>
        <w:rPr>
          <w:rFonts w:ascii="黑体" w:hAnsi="黑体" w:hint="eastAsia"/>
          <w:bCs/>
          <w:sz w:val="24"/>
          <w:szCs w:val="24"/>
        </w:rPr>
        <w:t>、</w:t>
      </w:r>
      <w:r>
        <w:rPr>
          <w:rFonts w:ascii="黑体" w:hAnsi="黑体"/>
          <w:bCs/>
          <w:sz w:val="24"/>
          <w:szCs w:val="24"/>
        </w:rPr>
        <w:t>赎回或者转换。投资人在基金合同约定之外的日期和时间提出申购、赎回或转换申请</w:t>
      </w:r>
      <w:proofErr w:type="gramStart"/>
      <w:r>
        <w:rPr>
          <w:rFonts w:ascii="黑体" w:hAnsi="黑体" w:hint="eastAsia"/>
          <w:bCs/>
          <w:sz w:val="24"/>
          <w:szCs w:val="24"/>
        </w:rPr>
        <w:t>且登记</w:t>
      </w:r>
      <w:proofErr w:type="gramEnd"/>
      <w:r>
        <w:rPr>
          <w:rFonts w:ascii="黑体" w:hAnsi="黑体" w:hint="eastAsia"/>
          <w:bCs/>
          <w:sz w:val="24"/>
          <w:szCs w:val="24"/>
        </w:rPr>
        <w:t>机构确认接受</w:t>
      </w:r>
      <w:r>
        <w:rPr>
          <w:rFonts w:ascii="黑体" w:hAnsi="黑体"/>
          <w:bCs/>
          <w:sz w:val="24"/>
          <w:szCs w:val="24"/>
        </w:rPr>
        <w:t>的，其基金份额申购、赎回价格为下一开放</w:t>
      </w:r>
      <w:proofErr w:type="gramStart"/>
      <w:r>
        <w:rPr>
          <w:rFonts w:ascii="黑体" w:hAnsi="黑体"/>
          <w:bCs/>
          <w:sz w:val="24"/>
          <w:szCs w:val="24"/>
        </w:rPr>
        <w:t>日</w:t>
      </w:r>
      <w:r>
        <w:rPr>
          <w:rFonts w:ascii="黑体" w:hAnsi="黑体" w:hint="eastAsia"/>
          <w:bCs/>
          <w:sz w:val="24"/>
          <w:szCs w:val="24"/>
        </w:rPr>
        <w:t>相应</w:t>
      </w:r>
      <w:proofErr w:type="gramEnd"/>
      <w:r>
        <w:rPr>
          <w:rFonts w:ascii="黑体" w:hAnsi="黑体" w:hint="eastAsia"/>
          <w:bCs/>
          <w:sz w:val="24"/>
          <w:szCs w:val="24"/>
        </w:rPr>
        <w:t>类别</w:t>
      </w:r>
      <w:r>
        <w:rPr>
          <w:rFonts w:ascii="黑体" w:hAnsi="黑体"/>
          <w:bCs/>
          <w:sz w:val="24"/>
          <w:szCs w:val="24"/>
        </w:rPr>
        <w:t>基金份额申购、赎回的价格</w:t>
      </w:r>
      <w:r>
        <w:rPr>
          <w:rFonts w:ascii="黑体" w:hAnsi="黑体" w:hint="eastAsia"/>
          <w:bCs/>
          <w:sz w:val="24"/>
          <w:szCs w:val="24"/>
        </w:rPr>
        <w:t>。</w:t>
      </w:r>
    </w:p>
    <w:p w14:paraId="75D75EE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三</w:t>
      </w:r>
      <w:r>
        <w:rPr>
          <w:rFonts w:ascii="宋体" w:hAnsi="宋体"/>
          <w:bCs/>
          <w:sz w:val="24"/>
          <w:szCs w:val="24"/>
        </w:rPr>
        <w:t>、申购与赎回的原则</w:t>
      </w:r>
    </w:p>
    <w:p w14:paraId="625FAE96" w14:textId="77777777" w:rsidR="00166BB1" w:rsidRDefault="00166BB1">
      <w:pPr>
        <w:adjustRightInd w:val="0"/>
        <w:snapToGrid w:val="0"/>
        <w:spacing w:line="360" w:lineRule="auto"/>
        <w:ind w:firstLineChars="200" w:firstLine="480"/>
        <w:rPr>
          <w:rFonts w:ascii="黑体" w:hAnsi="黑体"/>
          <w:bCs/>
          <w:sz w:val="24"/>
          <w:szCs w:val="24"/>
        </w:rPr>
      </w:pPr>
      <w:r w:rsidRPr="00AD2C2A">
        <w:rPr>
          <w:rFonts w:ascii="宋体" w:hAnsi="宋体"/>
          <w:bCs/>
          <w:sz w:val="24"/>
          <w:szCs w:val="24"/>
        </w:rPr>
        <w:t>1</w:t>
      </w:r>
      <w:r>
        <w:rPr>
          <w:rFonts w:ascii="黑体" w:hAnsi="黑体" w:hint="eastAsia"/>
          <w:bCs/>
          <w:sz w:val="24"/>
          <w:szCs w:val="24"/>
        </w:rPr>
        <w:t>、“</w:t>
      </w:r>
      <w:r>
        <w:rPr>
          <w:rFonts w:ascii="黑体" w:hAnsi="黑体"/>
          <w:bCs/>
          <w:sz w:val="24"/>
          <w:szCs w:val="24"/>
        </w:rPr>
        <w:t>未知价</w:t>
      </w:r>
      <w:r>
        <w:rPr>
          <w:rFonts w:ascii="黑体" w:hAnsi="黑体" w:hint="eastAsia"/>
          <w:bCs/>
          <w:sz w:val="24"/>
          <w:szCs w:val="24"/>
        </w:rPr>
        <w:t>”</w:t>
      </w:r>
      <w:r>
        <w:rPr>
          <w:rFonts w:ascii="黑体" w:hAnsi="黑体"/>
          <w:bCs/>
          <w:sz w:val="24"/>
          <w:szCs w:val="24"/>
        </w:rPr>
        <w:t>原则，即申购、赎回价格以申请当日收市后计算的</w:t>
      </w:r>
      <w:r>
        <w:rPr>
          <w:rFonts w:ascii="黑体" w:hAnsi="黑体" w:hint="eastAsia"/>
          <w:bCs/>
          <w:sz w:val="24"/>
          <w:szCs w:val="24"/>
        </w:rPr>
        <w:t>相应类别的</w:t>
      </w:r>
      <w:r>
        <w:rPr>
          <w:rFonts w:ascii="黑体" w:hAnsi="黑体"/>
          <w:bCs/>
          <w:sz w:val="24"/>
          <w:szCs w:val="24"/>
        </w:rPr>
        <w:t>基金份额净值为基准进行计算；</w:t>
      </w:r>
    </w:p>
    <w:p w14:paraId="0BB98A0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金额申购、份额赎回</w:t>
      </w:r>
      <w:r>
        <w:rPr>
          <w:rFonts w:ascii="宋体" w:hAnsi="宋体" w:hint="eastAsia"/>
          <w:bCs/>
          <w:sz w:val="24"/>
          <w:szCs w:val="24"/>
        </w:rPr>
        <w:t>”</w:t>
      </w:r>
      <w:r>
        <w:rPr>
          <w:rFonts w:ascii="宋体" w:hAnsi="宋体"/>
          <w:bCs/>
          <w:sz w:val="24"/>
          <w:szCs w:val="24"/>
        </w:rPr>
        <w:t>原则，即申购以金额申请，赎回以份额申请；</w:t>
      </w:r>
    </w:p>
    <w:p w14:paraId="67F1311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3、当日的申购与赎回申请可以在基金管理人规定的时间以内撤销，在当日业务办理时间结束后不得撤销；</w:t>
      </w:r>
    </w:p>
    <w:p w14:paraId="2AF4430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赎回</w:t>
      </w:r>
      <w:r>
        <w:rPr>
          <w:rFonts w:ascii="宋体" w:hAnsi="宋体" w:hint="eastAsia"/>
          <w:bCs/>
          <w:sz w:val="24"/>
          <w:szCs w:val="24"/>
        </w:rPr>
        <w:t>遵循“先进先出”原则，即按照投资人持有基金份额登记日期的先后次序进行顺序赎回；</w:t>
      </w:r>
    </w:p>
    <w:p w14:paraId="77BD167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5、办理申购、赎回业务时，应当遵循基金份额持有人利益优先原则，确保投资者的合法权益不受损害并得到公平对待。</w:t>
      </w:r>
    </w:p>
    <w:p w14:paraId="2C13139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基金管理人可在不违反法律法规的情况下，对上述原则进行调整。基金管理人</w:t>
      </w:r>
      <w:r>
        <w:rPr>
          <w:rFonts w:ascii="宋体" w:hAnsi="宋体" w:hint="eastAsia"/>
          <w:bCs/>
          <w:sz w:val="24"/>
          <w:szCs w:val="24"/>
        </w:rPr>
        <w:t>应</w:t>
      </w:r>
      <w:r>
        <w:rPr>
          <w:rFonts w:ascii="宋体" w:hAnsi="宋体"/>
          <w:bCs/>
          <w:sz w:val="24"/>
          <w:szCs w:val="24"/>
        </w:rPr>
        <w:t>在新规则开始实施前依照《信息披露办法》的有关规定在规定媒介上公告。</w:t>
      </w:r>
    </w:p>
    <w:p w14:paraId="72E4662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、申购与赎回的程序</w:t>
      </w:r>
    </w:p>
    <w:p w14:paraId="3F2F79C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申购和赎回的申请方式</w:t>
      </w:r>
    </w:p>
    <w:p w14:paraId="1B6077B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投资人必须根据销售机构规定的程序，在开放日的具体业务办理时间内提出申购或赎回的申请。</w:t>
      </w:r>
      <w:r>
        <w:rPr>
          <w:rFonts w:ascii="宋体" w:hAnsi="宋体" w:hint="eastAsia"/>
          <w:bCs/>
          <w:sz w:val="24"/>
          <w:szCs w:val="24"/>
        </w:rPr>
        <w:t>投资人办理申购、赎回等业务时应提交的文件和办理手续、办理时间、处理规则等，在遵守基金合同和招募说明书规定的前提下，以各销售机构的具体规定为准。</w:t>
      </w:r>
    </w:p>
    <w:p w14:paraId="5EDDF4A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w:t>
      </w:r>
      <w:r>
        <w:rPr>
          <w:rFonts w:ascii="宋体" w:hAnsi="宋体"/>
          <w:bCs/>
          <w:sz w:val="24"/>
          <w:szCs w:val="24"/>
        </w:rPr>
        <w:t>申购和赎回的款项支付</w:t>
      </w:r>
    </w:p>
    <w:p w14:paraId="03FED16F" w14:textId="77777777" w:rsidR="00166BB1" w:rsidRDefault="00166BB1">
      <w:pPr>
        <w:adjustRightInd w:val="0"/>
        <w:snapToGrid w:val="0"/>
        <w:spacing w:line="360" w:lineRule="auto"/>
        <w:ind w:firstLineChars="200" w:firstLine="480"/>
        <w:rPr>
          <w:rFonts w:ascii="宋体" w:hAnsi="宋体"/>
          <w:bCs/>
          <w:sz w:val="24"/>
          <w:szCs w:val="24"/>
          <w:lang w:val="zh-CN"/>
        </w:rPr>
      </w:pPr>
      <w:r>
        <w:rPr>
          <w:rFonts w:ascii="宋体" w:hAnsi="宋体" w:hint="eastAsia"/>
          <w:bCs/>
          <w:sz w:val="24"/>
          <w:szCs w:val="24"/>
          <w:lang w:val="zh-CN"/>
        </w:rPr>
        <w:t>投资人申购基金份额时，必须按销售机构规定的方式全额交付申购款项，否则所提交的申购申请不成立。投资人全额交付申购款项，申购成立；基金份额登记机构确认基金份额时，申购生效。</w:t>
      </w:r>
    </w:p>
    <w:p w14:paraId="61B535F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lang w:val="zh-CN"/>
        </w:rPr>
        <w:t>基金份额持有人递交赎回申请，必须持有足够的基金份额余额，否则所提交的赎回申请不成立。基金份额持有人在规定的时间内递交赎回申请，赎回成立；基金份额登记机构确认赎回时，赎回生效。投资人赎回申请生效后，基金管理人将通过登记机构及其相关销售机构在T＋7日（包括该日）内将赎回款项</w:t>
      </w:r>
      <w:proofErr w:type="gramStart"/>
      <w:r>
        <w:rPr>
          <w:rFonts w:ascii="宋体" w:hAnsi="宋体" w:hint="eastAsia"/>
          <w:bCs/>
          <w:sz w:val="24"/>
          <w:szCs w:val="24"/>
          <w:lang w:val="zh-CN"/>
        </w:rPr>
        <w:t>划往基金</w:t>
      </w:r>
      <w:proofErr w:type="gramEnd"/>
      <w:r>
        <w:rPr>
          <w:rFonts w:ascii="宋体" w:hAnsi="宋体" w:hint="eastAsia"/>
          <w:bCs/>
          <w:sz w:val="24"/>
          <w:szCs w:val="24"/>
          <w:lang w:val="zh-CN"/>
        </w:rPr>
        <w:t>份额持有人银行账户，但中国证监会另有规定时除外。</w:t>
      </w:r>
      <w:proofErr w:type="gramStart"/>
      <w:r>
        <w:rPr>
          <w:rFonts w:ascii="宋体" w:hAnsi="宋体" w:hint="eastAsia"/>
          <w:bCs/>
          <w:sz w:val="24"/>
          <w:szCs w:val="24"/>
          <w:lang w:val="zh-CN"/>
        </w:rPr>
        <w:t>遇证券</w:t>
      </w:r>
      <w:proofErr w:type="gramEnd"/>
      <w:r>
        <w:rPr>
          <w:rFonts w:ascii="宋体" w:hAnsi="宋体" w:hint="eastAsia"/>
          <w:bCs/>
          <w:sz w:val="24"/>
          <w:szCs w:val="24"/>
        </w:rPr>
        <w:t>/期货</w:t>
      </w:r>
      <w:r>
        <w:rPr>
          <w:rFonts w:ascii="宋体" w:hAnsi="宋体" w:hint="eastAsia"/>
          <w:bCs/>
          <w:sz w:val="24"/>
          <w:szCs w:val="24"/>
          <w:lang w:val="zh-CN"/>
        </w:rPr>
        <w:t>交易所或交易市场数据传输延迟、通讯系统故障、银行数据交换系统故障或其它</w:t>
      </w:r>
      <w:proofErr w:type="gramStart"/>
      <w:r>
        <w:rPr>
          <w:rFonts w:ascii="宋体" w:hAnsi="宋体" w:hint="eastAsia"/>
          <w:bCs/>
          <w:sz w:val="24"/>
          <w:szCs w:val="24"/>
          <w:lang w:val="zh-CN"/>
        </w:rPr>
        <w:t>非基金</w:t>
      </w:r>
      <w:proofErr w:type="gramEnd"/>
      <w:r>
        <w:rPr>
          <w:rFonts w:ascii="宋体" w:hAnsi="宋体" w:hint="eastAsia"/>
          <w:bCs/>
          <w:sz w:val="24"/>
          <w:szCs w:val="24"/>
          <w:lang w:val="zh-CN"/>
        </w:rPr>
        <w:t>管理人及基金托管人所能控制的因素影响业务处理流程时，赎回款项的划付时间顺延至上述因素消除的下一个工作日。在发生巨额赎回或本基金合同载明的其他暂</w:t>
      </w:r>
      <w:r>
        <w:rPr>
          <w:rFonts w:ascii="宋体" w:hAnsi="宋体" w:hint="eastAsia"/>
          <w:bCs/>
          <w:sz w:val="24"/>
          <w:szCs w:val="24"/>
          <w:lang w:val="zh-CN"/>
        </w:rPr>
        <w:lastRenderedPageBreak/>
        <w:t>停赎回或延缓支付赎回款项的情形时，款项的支付办法按照本基金合同有关条款处理。</w:t>
      </w:r>
    </w:p>
    <w:p w14:paraId="7FE4FA4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bCs/>
          <w:sz w:val="24"/>
          <w:szCs w:val="24"/>
        </w:rPr>
        <w:t>申购和赎回申请的确认</w:t>
      </w:r>
    </w:p>
    <w:p w14:paraId="0E619D88" w14:textId="7987310C"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以交易时间结束前受理有效申购和赎回申请的当天作为申购或赎回申请日（T日），在正常情况下，本基金登记机构在T+1日内对该交易的有效性进行确认。T日提交的有效申请，投资人应在T+2日后（包括该日）及时到销售网点柜台或以销售机构规定的其他方式查询申请的确认情况。</w:t>
      </w:r>
      <w:r>
        <w:rPr>
          <w:rFonts w:ascii="宋体" w:hAnsi="宋体" w:hint="eastAsia"/>
          <w:b/>
          <w:bCs/>
          <w:sz w:val="24"/>
          <w:szCs w:val="24"/>
        </w:rPr>
        <w:t>若申购不成</w:t>
      </w:r>
      <w:r>
        <w:rPr>
          <w:rFonts w:ascii="宋体" w:hAnsi="宋体"/>
          <w:b/>
          <w:bCs/>
          <w:sz w:val="24"/>
          <w:szCs w:val="24"/>
        </w:rPr>
        <w:t>立或无效</w:t>
      </w:r>
      <w:r>
        <w:rPr>
          <w:rFonts w:ascii="宋体" w:hAnsi="宋体" w:hint="eastAsia"/>
          <w:b/>
          <w:bCs/>
          <w:sz w:val="24"/>
          <w:szCs w:val="24"/>
        </w:rPr>
        <w:t>，则申购款项</w:t>
      </w:r>
      <w:r w:rsidRPr="00FA1286">
        <w:rPr>
          <w:rFonts w:ascii="宋体" w:hAnsi="宋体" w:hint="eastAsia"/>
          <w:b/>
          <w:bCs/>
          <w:sz w:val="24"/>
          <w:szCs w:val="24"/>
        </w:rPr>
        <w:t>将退还给投资人。</w:t>
      </w:r>
    </w:p>
    <w:p w14:paraId="51E51F14" w14:textId="77777777" w:rsidR="00166BB1" w:rsidRDefault="00166BB1">
      <w:pPr>
        <w:adjustRightInd w:val="0"/>
        <w:snapToGrid w:val="0"/>
        <w:spacing w:line="360" w:lineRule="auto"/>
        <w:ind w:firstLineChars="200" w:firstLine="480"/>
        <w:rPr>
          <w:rFonts w:ascii="宋体" w:hAnsi="宋体"/>
          <w:b/>
          <w:bCs/>
          <w:sz w:val="24"/>
          <w:szCs w:val="24"/>
        </w:rPr>
      </w:pPr>
      <w:r>
        <w:rPr>
          <w:rFonts w:ascii="宋体" w:hAnsi="宋体" w:hint="eastAsia"/>
          <w:bCs/>
          <w:sz w:val="24"/>
          <w:szCs w:val="24"/>
        </w:rPr>
        <w:t>销售机构对申购、赎回申请的受理并不代表申请一定成功，而仅代表销售机构确实接收到申购、赎回申请，申购与赎回申请的确认以登记机构的确认结果为准。对于申请的确认情况，投资人应及时查询，并妥善行使合法权利。</w:t>
      </w:r>
      <w:r>
        <w:rPr>
          <w:rFonts w:ascii="宋体" w:hAnsi="宋体" w:hint="eastAsia"/>
          <w:b/>
          <w:bCs/>
          <w:sz w:val="24"/>
          <w:szCs w:val="24"/>
        </w:rPr>
        <w:t>因投资人</w:t>
      </w:r>
      <w:proofErr w:type="gramStart"/>
      <w:r>
        <w:rPr>
          <w:rFonts w:ascii="宋体" w:hAnsi="宋体" w:hint="eastAsia"/>
          <w:b/>
          <w:bCs/>
          <w:sz w:val="24"/>
          <w:szCs w:val="24"/>
        </w:rPr>
        <w:t>怠</w:t>
      </w:r>
      <w:proofErr w:type="gramEnd"/>
      <w:r>
        <w:rPr>
          <w:rFonts w:ascii="宋体" w:hAnsi="宋体" w:hint="eastAsia"/>
          <w:b/>
          <w:bCs/>
          <w:sz w:val="24"/>
          <w:szCs w:val="24"/>
        </w:rPr>
        <w:t>于履行该项查询等各项义务，致使其相关权益受损的，基金管理人、基金托管人、销售机构不承担由此造成的损失或不利后果。如因申请未得到登记机构的确认而造成的损失，由投资人自行承担。</w:t>
      </w:r>
    </w:p>
    <w:p w14:paraId="5DE636B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在不违反法律法规的情况下，基金管理人可根据业务规则，对上述业务办理时间进行调整并将于开始实施前按照《信息披露办法》的有关规定公告。</w:t>
      </w:r>
    </w:p>
    <w:p w14:paraId="63CD7B9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、申购和赎回的数</w:t>
      </w:r>
      <w:r>
        <w:rPr>
          <w:rFonts w:ascii="宋体" w:hAnsi="宋体" w:hint="eastAsia"/>
          <w:bCs/>
          <w:sz w:val="24"/>
          <w:szCs w:val="24"/>
        </w:rPr>
        <w:t>量</w:t>
      </w:r>
      <w:r>
        <w:rPr>
          <w:rFonts w:ascii="宋体" w:hAnsi="宋体"/>
          <w:bCs/>
          <w:sz w:val="24"/>
          <w:szCs w:val="24"/>
        </w:rPr>
        <w:t>限制</w:t>
      </w:r>
    </w:p>
    <w:p w14:paraId="5D0A6442" w14:textId="77777777" w:rsidR="00166BB1" w:rsidRDefault="00166BB1">
      <w:pPr>
        <w:adjustRightInd w:val="0"/>
        <w:snapToGrid w:val="0"/>
        <w:spacing w:line="360" w:lineRule="auto"/>
        <w:ind w:firstLineChars="200" w:firstLine="480"/>
        <w:rPr>
          <w:rFonts w:ascii="黑体" w:hAnsi="黑体"/>
          <w:bCs/>
          <w:sz w:val="24"/>
          <w:szCs w:val="24"/>
        </w:rPr>
      </w:pPr>
      <w:r w:rsidRPr="00AD2C2A">
        <w:rPr>
          <w:rFonts w:ascii="宋体" w:hAnsi="宋体"/>
          <w:bCs/>
          <w:sz w:val="24"/>
          <w:szCs w:val="24"/>
        </w:rPr>
        <w:t>1</w:t>
      </w:r>
      <w:r>
        <w:rPr>
          <w:rFonts w:ascii="黑体" w:hAnsi="黑体" w:hint="eastAsia"/>
          <w:bCs/>
          <w:sz w:val="24"/>
          <w:szCs w:val="24"/>
        </w:rPr>
        <w:t>、基金管理人可以规定投资人首笔申购和每笔申购的金额限制以及每笔赎回的份额限制，具体规定请参见招募说明书或相关公告。投资人将所申购的基金份额当期分配的基金收益转为</w:t>
      </w:r>
      <w:r>
        <w:rPr>
          <w:rFonts w:ascii="宋体" w:hAnsi="宋体" w:hint="eastAsia"/>
          <w:bCs/>
          <w:sz w:val="24"/>
          <w:szCs w:val="24"/>
        </w:rPr>
        <w:t>相应类别的</w:t>
      </w:r>
      <w:r>
        <w:rPr>
          <w:rFonts w:ascii="黑体" w:hAnsi="黑体" w:hint="eastAsia"/>
          <w:bCs/>
          <w:sz w:val="24"/>
          <w:szCs w:val="24"/>
        </w:rPr>
        <w:t>基金份额时，不受最低申购金额的限制。</w:t>
      </w:r>
    </w:p>
    <w:p w14:paraId="72B5181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2、基金管理人可以规定投资人每个基金交易账户的最低基金份额余额，具体规定请参见招募说明书或相关公告。</w:t>
      </w:r>
    </w:p>
    <w:p w14:paraId="286AC5B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3、基金管理人可以规定单个投资人累计持有的基金份额上限或累计持有的基金份额占基金份额总数的比例上限，具体规定请参见招募说明书或相关公告。</w:t>
      </w:r>
    </w:p>
    <w:p w14:paraId="233095F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4、基金管理人可以规定本基金的总规模限额、单日申购金额限制、单日净申购比例上限、单个投资者单日或单笔申购金额上限，具体规定请参见招募说明书或相关公告。</w:t>
      </w:r>
    </w:p>
    <w:p w14:paraId="19F4ED7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当接受申购申请对存量基金份额持有人利益构成潜在重大不利影响时，基金管理人应当采取设定单一投资人申购金额上限或基金单日净申购比例上限、拒绝大额申购、暂停基金申购等措施，切实保护存量基金份额持有人的合法权益。</w:t>
      </w:r>
      <w:r>
        <w:rPr>
          <w:rFonts w:ascii="宋体" w:hAnsi="宋体" w:hint="eastAsia"/>
          <w:bCs/>
          <w:sz w:val="24"/>
          <w:szCs w:val="24"/>
        </w:rPr>
        <w:lastRenderedPageBreak/>
        <w:t>基金管理人基于投资运作与风险控制的需要，可采取上述措施对基金规模予以控制。具体</w:t>
      </w:r>
      <w:proofErr w:type="gramStart"/>
      <w:r>
        <w:rPr>
          <w:rFonts w:ascii="宋体" w:hAnsi="宋体" w:hint="eastAsia"/>
          <w:bCs/>
          <w:sz w:val="24"/>
          <w:szCs w:val="24"/>
        </w:rPr>
        <w:t>见基金</w:t>
      </w:r>
      <w:proofErr w:type="gramEnd"/>
      <w:r>
        <w:rPr>
          <w:rFonts w:ascii="宋体" w:hAnsi="宋体" w:hint="eastAsia"/>
          <w:bCs/>
          <w:sz w:val="24"/>
          <w:szCs w:val="24"/>
        </w:rPr>
        <w:t>管理人相关公告。</w:t>
      </w:r>
    </w:p>
    <w:p w14:paraId="6446701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、基金管理人可在不违反法律法规的情况下，调整上述规定申购金额和赎回份额的数量限制，或者新增基金规模控制措施。基金管理人应依照《信息披露办法》的有关规定在规定媒介上公告。</w:t>
      </w:r>
    </w:p>
    <w:p w14:paraId="7D47840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bCs/>
          <w:sz w:val="24"/>
          <w:szCs w:val="24"/>
        </w:rPr>
        <w:t>、申购和赎回的价格、费用及其用途</w:t>
      </w:r>
    </w:p>
    <w:p w14:paraId="3BA1515E" w14:textId="77777777" w:rsidR="00166BB1" w:rsidRDefault="00166BB1">
      <w:pPr>
        <w:adjustRightInd w:val="0"/>
        <w:snapToGrid w:val="0"/>
        <w:spacing w:line="360" w:lineRule="auto"/>
        <w:ind w:firstLineChars="200" w:firstLine="480"/>
        <w:rPr>
          <w:rFonts w:ascii="宋体" w:hAnsi="宋体"/>
          <w:bCs/>
          <w:sz w:val="24"/>
          <w:szCs w:val="24"/>
        </w:rPr>
      </w:pPr>
      <w:r w:rsidRPr="00AD2C2A">
        <w:rPr>
          <w:rFonts w:ascii="宋体" w:hAnsi="宋体"/>
          <w:bCs/>
          <w:sz w:val="24"/>
          <w:szCs w:val="24"/>
        </w:rPr>
        <w:t>1</w:t>
      </w:r>
      <w:r>
        <w:rPr>
          <w:rFonts w:ascii="黑体" w:hAnsi="黑体" w:hint="eastAsia"/>
          <w:bCs/>
          <w:sz w:val="24"/>
          <w:szCs w:val="24"/>
        </w:rPr>
        <w:t>、</w:t>
      </w:r>
      <w:r>
        <w:rPr>
          <w:rFonts w:hint="eastAsia"/>
          <w:bCs/>
          <w:sz w:val="24"/>
        </w:rPr>
        <w:t>本基金分为</w:t>
      </w:r>
      <w:r>
        <w:rPr>
          <w:rFonts w:hint="eastAsia"/>
          <w:bCs/>
          <w:sz w:val="24"/>
        </w:rPr>
        <w:t>A</w:t>
      </w:r>
      <w:r>
        <w:rPr>
          <w:rFonts w:hint="eastAsia"/>
          <w:bCs/>
          <w:sz w:val="24"/>
        </w:rPr>
        <w:t>类和</w:t>
      </w:r>
      <w:r>
        <w:rPr>
          <w:rFonts w:hint="eastAsia"/>
          <w:bCs/>
          <w:sz w:val="24"/>
        </w:rPr>
        <w:t>C</w:t>
      </w:r>
      <w:r>
        <w:rPr>
          <w:rFonts w:hint="eastAsia"/>
          <w:bCs/>
          <w:sz w:val="24"/>
        </w:rPr>
        <w:t>类两类基金份额，两类</w:t>
      </w:r>
      <w:r>
        <w:rPr>
          <w:bCs/>
          <w:sz w:val="24"/>
        </w:rPr>
        <w:t>基金份额单独设置基金代码，分别计算和公告基金份额净值。</w:t>
      </w:r>
      <w:r>
        <w:rPr>
          <w:rFonts w:ascii="宋体" w:hAnsi="宋体" w:hint="eastAsia"/>
          <w:bCs/>
          <w:sz w:val="24"/>
          <w:szCs w:val="24"/>
        </w:rPr>
        <w:t>本基金各类基金份额净值的计算，均保留到小数点后4位，小数点后第5位四舍五入，由此产生的收益或损失由基金财产承担。基金申购、赎回开放日（T日）的各类基金份额净值在当天收市后计算，并按基金合同的约定公告。遇特殊情况，经履行适当程序，可以适当延迟计算或公告。</w:t>
      </w:r>
    </w:p>
    <w:p w14:paraId="36BB65F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、申购份额的计算及余额的处理方式：本基金申购份额的计算和余额的处理方式详见《招募说明书》。</w:t>
      </w:r>
      <w:r w:rsidRPr="003A0938">
        <w:rPr>
          <w:rFonts w:ascii="宋体" w:hAnsi="宋体" w:hint="eastAsia"/>
          <w:bCs/>
          <w:sz w:val="24"/>
          <w:szCs w:val="24"/>
        </w:rPr>
        <w:t>通过</w:t>
      </w:r>
      <w:r>
        <w:rPr>
          <w:rFonts w:ascii="宋体" w:hAnsi="宋体" w:hint="eastAsia"/>
          <w:bCs/>
          <w:sz w:val="24"/>
          <w:szCs w:val="24"/>
        </w:rPr>
        <w:t>基金管理人</w:t>
      </w:r>
      <w:r w:rsidRPr="003A0938">
        <w:rPr>
          <w:rFonts w:ascii="宋体" w:hAnsi="宋体" w:hint="eastAsia"/>
          <w:bCs/>
          <w:sz w:val="24"/>
          <w:szCs w:val="24"/>
        </w:rPr>
        <w:t>申购本</w:t>
      </w:r>
      <w:proofErr w:type="gramStart"/>
      <w:r w:rsidRPr="003A0938">
        <w:rPr>
          <w:rFonts w:ascii="宋体" w:hAnsi="宋体" w:hint="eastAsia"/>
          <w:bCs/>
          <w:sz w:val="24"/>
          <w:szCs w:val="24"/>
        </w:rPr>
        <w:t>基金基金</w:t>
      </w:r>
      <w:proofErr w:type="gramEnd"/>
      <w:r w:rsidRPr="003A0938">
        <w:rPr>
          <w:rFonts w:ascii="宋体" w:hAnsi="宋体" w:hint="eastAsia"/>
          <w:bCs/>
          <w:sz w:val="24"/>
          <w:szCs w:val="24"/>
        </w:rPr>
        <w:t>份额的，不收取申购费。通过</w:t>
      </w:r>
      <w:r>
        <w:rPr>
          <w:rFonts w:ascii="宋体" w:hAnsi="宋体" w:hint="eastAsia"/>
          <w:bCs/>
          <w:sz w:val="24"/>
        </w:rPr>
        <w:t>其他销售</w:t>
      </w:r>
      <w:r w:rsidRPr="003A0938">
        <w:rPr>
          <w:rFonts w:ascii="宋体" w:hAnsi="宋体" w:hint="eastAsia"/>
          <w:bCs/>
          <w:sz w:val="24"/>
          <w:szCs w:val="24"/>
        </w:rPr>
        <w:t>机构申购本</w:t>
      </w:r>
      <w:proofErr w:type="gramStart"/>
      <w:r w:rsidRPr="003A0938">
        <w:rPr>
          <w:rFonts w:ascii="宋体" w:hAnsi="宋体" w:hint="eastAsia"/>
          <w:bCs/>
          <w:sz w:val="24"/>
          <w:szCs w:val="24"/>
        </w:rPr>
        <w:t>基金基金</w:t>
      </w:r>
      <w:proofErr w:type="gramEnd"/>
      <w:r w:rsidRPr="003A0938">
        <w:rPr>
          <w:rFonts w:ascii="宋体" w:hAnsi="宋体" w:hint="eastAsia"/>
          <w:bCs/>
          <w:sz w:val="24"/>
          <w:szCs w:val="24"/>
        </w:rPr>
        <w:t>份额的，</w:t>
      </w:r>
      <w:r>
        <w:rPr>
          <w:rFonts w:ascii="宋体" w:hAnsi="宋体" w:hint="eastAsia"/>
          <w:bCs/>
          <w:sz w:val="24"/>
          <w:szCs w:val="24"/>
        </w:rPr>
        <w:t>本基金A类基金份额在申购时收取申购费用；C类基金份额不收取申购费用。本基金A类基金份额的申购费率由基金管理人决定，并在招募说明书及基金产品资料概要中列示。申购的有效份额为净申购金额除以当日相应类别的基金份额净值，有效份额单位为份。</w:t>
      </w:r>
    </w:p>
    <w:p w14:paraId="4E44181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、赎回金额的计算及处理方式：本基金赎回金额的计算和处理方式详见招募说明书，赎回金额单位为元。本基金的赎回费率在招募说明书及基金产品资料概要中列示。</w:t>
      </w:r>
    </w:p>
    <w:p w14:paraId="255BFB66" w14:textId="2504A31E"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w:t>
      </w:r>
      <w:r w:rsidRPr="00C35BD5">
        <w:rPr>
          <w:rFonts w:ascii="宋体" w:hAnsi="宋体" w:hint="eastAsia"/>
          <w:bCs/>
          <w:sz w:val="24"/>
          <w:szCs w:val="24"/>
        </w:rPr>
        <w:t>通过其他销售机构申购本基金A类基金份额的，</w:t>
      </w:r>
      <w:r>
        <w:rPr>
          <w:rFonts w:ascii="宋体" w:hAnsi="宋体" w:hint="eastAsia"/>
          <w:bCs/>
          <w:sz w:val="24"/>
          <w:szCs w:val="24"/>
        </w:rPr>
        <w:t>本</w:t>
      </w:r>
      <w:r>
        <w:rPr>
          <w:rFonts w:ascii="宋体" w:hAnsi="宋体"/>
          <w:bCs/>
          <w:sz w:val="24"/>
          <w:szCs w:val="24"/>
        </w:rPr>
        <w:t>基金A类</w:t>
      </w:r>
      <w:r>
        <w:rPr>
          <w:rFonts w:ascii="宋体" w:hAnsi="宋体" w:hint="eastAsia"/>
          <w:bCs/>
          <w:sz w:val="24"/>
          <w:szCs w:val="24"/>
        </w:rPr>
        <w:t>基金</w:t>
      </w:r>
      <w:r>
        <w:rPr>
          <w:rFonts w:ascii="宋体" w:hAnsi="宋体"/>
          <w:bCs/>
          <w:sz w:val="24"/>
          <w:szCs w:val="24"/>
        </w:rPr>
        <w:t>份额的</w:t>
      </w:r>
      <w:r>
        <w:rPr>
          <w:rFonts w:ascii="宋体" w:hAnsi="宋体" w:hint="eastAsia"/>
          <w:bCs/>
          <w:sz w:val="24"/>
          <w:szCs w:val="24"/>
        </w:rPr>
        <w:t>申购费用由申购本基金</w:t>
      </w:r>
      <w:r>
        <w:rPr>
          <w:rFonts w:ascii="宋体" w:hAnsi="宋体"/>
          <w:bCs/>
          <w:sz w:val="24"/>
          <w:szCs w:val="24"/>
        </w:rPr>
        <w:t>A类</w:t>
      </w:r>
      <w:r>
        <w:rPr>
          <w:rFonts w:ascii="宋体" w:hAnsi="宋体" w:hint="eastAsia"/>
          <w:bCs/>
          <w:sz w:val="24"/>
          <w:szCs w:val="24"/>
        </w:rPr>
        <w:t>基金份额的投资人承担，主要用于本基金的市场推广、销售等各项费用，不列入基金财产。</w:t>
      </w:r>
    </w:p>
    <w:p w14:paraId="54C84CDF" w14:textId="4BAD44B1"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、赎回费用由赎回本基金各类基金份额的基金份额持有人承担，在基金份额持有人赎回相应类别基金份额时收取。赎回费用全额计入基金财产。</w:t>
      </w:r>
    </w:p>
    <w:p w14:paraId="2339F88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本基金A类基金份额的申购费率、A类/C类基金份额的申购份额具体的计算方法、赎回费率、赎回金额具体的计算方法和收费方式由基金管理人根据基金合同的规定确定，并在招募说明书中列示。在对基金份额持有人无实质性不利影响的情况下，基金管理人可以在基金合同约定的范围内调整费率或收费方式，</w:t>
      </w:r>
      <w:r>
        <w:rPr>
          <w:rFonts w:ascii="宋体" w:hAnsi="宋体" w:hint="eastAsia"/>
          <w:bCs/>
          <w:sz w:val="24"/>
          <w:szCs w:val="24"/>
        </w:rPr>
        <w:lastRenderedPageBreak/>
        <w:t>并最迟应于新的费率或收费方式实施日前依照《信息披露办法》的有关规定在</w:t>
      </w:r>
      <w:r>
        <w:rPr>
          <w:rFonts w:ascii="宋体" w:hAnsi="宋体"/>
          <w:bCs/>
          <w:sz w:val="24"/>
          <w:szCs w:val="24"/>
        </w:rPr>
        <w:t>规定</w:t>
      </w:r>
      <w:r>
        <w:rPr>
          <w:rFonts w:ascii="宋体" w:hAnsi="宋体" w:hint="eastAsia"/>
          <w:bCs/>
          <w:sz w:val="24"/>
          <w:szCs w:val="24"/>
        </w:rPr>
        <w:t>媒介上公告。</w:t>
      </w:r>
    </w:p>
    <w:p w14:paraId="02003401" w14:textId="2BB5A0AC" w:rsidR="00166BB1" w:rsidRDefault="00166BB1">
      <w:pPr>
        <w:adjustRightInd w:val="0"/>
        <w:snapToGrid w:val="0"/>
        <w:spacing w:line="360" w:lineRule="auto"/>
        <w:ind w:firstLineChars="200" w:firstLine="480"/>
        <w:rPr>
          <w:rFonts w:ascii="黑体" w:hAnsi="黑体"/>
          <w:bCs/>
          <w:sz w:val="24"/>
          <w:szCs w:val="24"/>
        </w:rPr>
      </w:pPr>
      <w:r w:rsidRPr="00AD2C2A">
        <w:rPr>
          <w:rFonts w:ascii="宋体" w:hAnsi="宋体"/>
          <w:bCs/>
          <w:sz w:val="24"/>
          <w:szCs w:val="24"/>
        </w:rPr>
        <w:t>7</w:t>
      </w:r>
      <w:r>
        <w:rPr>
          <w:rFonts w:ascii="黑体" w:hAnsi="黑体" w:hint="eastAsia"/>
          <w:bCs/>
          <w:sz w:val="24"/>
          <w:szCs w:val="24"/>
        </w:rPr>
        <w:t>、基金管理人可以在不违反法律法规规定及基金合同约定且对现有基金份额持有人利益无实质性不利影响的前提下，根据市场情况制定基金促销计划，针对投资人定期或不定期地开展基金促销活动。在基金促销活动期间，按相关监管部门要求履行必要手续后，基金管理人可以适当调低基金销售费率，并进行公告。</w:t>
      </w:r>
    </w:p>
    <w:p w14:paraId="5CD7BF7C" w14:textId="77777777" w:rsidR="00166BB1" w:rsidRDefault="00166BB1">
      <w:pPr>
        <w:adjustRightInd w:val="0"/>
        <w:snapToGrid w:val="0"/>
        <w:spacing w:line="360" w:lineRule="auto"/>
        <w:ind w:firstLineChars="200" w:firstLine="480"/>
        <w:rPr>
          <w:rFonts w:ascii="黑体" w:hAnsi="黑体"/>
          <w:bCs/>
          <w:sz w:val="24"/>
          <w:szCs w:val="24"/>
        </w:rPr>
      </w:pPr>
      <w:r w:rsidRPr="00AD2C2A">
        <w:rPr>
          <w:rFonts w:ascii="宋体" w:hAnsi="宋体"/>
          <w:bCs/>
          <w:sz w:val="24"/>
          <w:szCs w:val="24"/>
        </w:rPr>
        <w:t>8</w:t>
      </w:r>
      <w:r>
        <w:rPr>
          <w:rFonts w:ascii="黑体" w:hAnsi="黑体" w:hint="eastAsia"/>
          <w:bCs/>
          <w:sz w:val="24"/>
          <w:szCs w:val="24"/>
        </w:rPr>
        <w:t>、当本基金发生大额申购或赎回情形时，基金管理人可以采用摆动定价机制，以确保基金估值的公平性。具体处理原则与操作规范遵循相关法律法规以及监管部门、自律规则的规定。</w:t>
      </w:r>
    </w:p>
    <w:p w14:paraId="5BD9EFE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w:t>
      </w:r>
      <w:r>
        <w:rPr>
          <w:rFonts w:ascii="宋体" w:hAnsi="宋体"/>
          <w:bCs/>
          <w:sz w:val="24"/>
          <w:szCs w:val="24"/>
        </w:rPr>
        <w:t>拒绝或暂停申购的情形</w:t>
      </w:r>
      <w:r>
        <w:rPr>
          <w:rFonts w:ascii="宋体" w:hAnsi="宋体" w:hint="eastAsia"/>
          <w:bCs/>
          <w:sz w:val="24"/>
          <w:szCs w:val="24"/>
        </w:rPr>
        <w:t>及处理方式</w:t>
      </w:r>
    </w:p>
    <w:p w14:paraId="52D6864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发生下列情况时，基金管理人可拒绝或暂停接受投资人的申购申请：</w:t>
      </w:r>
    </w:p>
    <w:p w14:paraId="0AEA459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因不可抗力导致基金无法正常运作。</w:t>
      </w:r>
    </w:p>
    <w:p w14:paraId="587B4AC7" w14:textId="77777777" w:rsidR="00166BB1" w:rsidRDefault="00166BB1">
      <w:pPr>
        <w:adjustRightInd w:val="0"/>
        <w:snapToGrid w:val="0"/>
        <w:spacing w:line="360" w:lineRule="auto"/>
        <w:ind w:firstLineChars="200" w:firstLine="480"/>
        <w:rPr>
          <w:rFonts w:ascii="宋体" w:hAnsi="宋体"/>
          <w:bCs/>
          <w:sz w:val="24"/>
          <w:szCs w:val="24"/>
          <w:shd w:val="pct10" w:color="auto" w:fill="FFFFFF"/>
        </w:rPr>
      </w:pPr>
      <w:r>
        <w:rPr>
          <w:rFonts w:ascii="宋体" w:hAnsi="宋体" w:hint="eastAsia"/>
          <w:bCs/>
          <w:sz w:val="24"/>
          <w:szCs w:val="24"/>
        </w:rPr>
        <w:t>2、发生基金合同规定的暂停基金资产估值情况时，基金管理人可暂停接受投资人的申购申请。当前一估值日基金资产净值50%以上的资产出现无可参考的活跃市场价格且采用估值技术</w:t>
      </w:r>
      <w:proofErr w:type="gramStart"/>
      <w:r>
        <w:rPr>
          <w:rFonts w:ascii="宋体" w:hAnsi="宋体" w:hint="eastAsia"/>
          <w:bCs/>
          <w:sz w:val="24"/>
          <w:szCs w:val="24"/>
        </w:rPr>
        <w:t>仍导致</w:t>
      </w:r>
      <w:proofErr w:type="gramEnd"/>
      <w:r>
        <w:rPr>
          <w:rFonts w:ascii="宋体" w:hAnsi="宋体" w:hint="eastAsia"/>
          <w:bCs/>
          <w:sz w:val="24"/>
          <w:szCs w:val="24"/>
        </w:rPr>
        <w:t>公允价值存在重大不确定性时，经与基金托管人协商确认后，基金管理人应当采取暂停接受基金申购申请的措施。</w:t>
      </w:r>
    </w:p>
    <w:p w14:paraId="0CF0873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3、证券/期货交易所依法决定临时停市或交易时间非正常停市，导致基金管理人无法计算当日基金资产净值或者无法办理基金的申购业务或者无法进行证券交易时。</w:t>
      </w:r>
    </w:p>
    <w:p w14:paraId="02810BE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4、基金管理人接受某笔或某些申购申请可能会影响或损害现有基金份额持有人利益时。</w:t>
      </w:r>
    </w:p>
    <w:p w14:paraId="2BB331A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5、基金资产规模过大，使基金管理人无法找到合适的投资品种，或证券市场价格发生大幅波动，或其他可能对基金业绩产生负面影响，或发生其他损害现有基金份额持有人利益的情形。</w:t>
      </w:r>
    </w:p>
    <w:p w14:paraId="1483BF9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6、基金管理人、基金托管人、销售机构、登记机构、支付结算机构等因技术故障或其他异常情况导致基金销售系统、基金销售支付结算系统、基金登记系统或基金会计系统等无法正常运行。</w:t>
      </w:r>
    </w:p>
    <w:p w14:paraId="1D5AB78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7、接受某笔或某些申购申请超过基金管理人设定的本基金的总规模限额、单日申购金额限制、单日净申购比例上限，或超过单个投资者累计持有、单日或单笔申购金额上限的。</w:t>
      </w:r>
    </w:p>
    <w:p w14:paraId="3C3EEF63" w14:textId="77777777" w:rsidR="00166BB1" w:rsidRDefault="00166BB1">
      <w:pPr>
        <w:snapToGrid w:val="0"/>
        <w:spacing w:line="360" w:lineRule="auto"/>
        <w:ind w:firstLine="480"/>
        <w:rPr>
          <w:rFonts w:ascii="宋体" w:hAnsi="宋体"/>
          <w:bCs/>
          <w:sz w:val="24"/>
          <w:szCs w:val="24"/>
        </w:rPr>
      </w:pPr>
      <w:r>
        <w:rPr>
          <w:rFonts w:ascii="宋体" w:hAnsi="宋体"/>
          <w:bCs/>
          <w:sz w:val="24"/>
          <w:szCs w:val="24"/>
        </w:rPr>
        <w:lastRenderedPageBreak/>
        <w:t>8</w:t>
      </w:r>
      <w:r>
        <w:rPr>
          <w:rFonts w:ascii="宋体" w:hAnsi="宋体" w:hint="eastAsia"/>
          <w:bCs/>
          <w:sz w:val="24"/>
          <w:szCs w:val="24"/>
        </w:rPr>
        <w:t>、所投资的目标ETF暂停估值、暂停公告基金份额净值，导致基金管理人无法计算当日基金资产净值。</w:t>
      </w:r>
    </w:p>
    <w:p w14:paraId="557277CA" w14:textId="77777777" w:rsidR="00166BB1" w:rsidRDefault="00166BB1">
      <w:pPr>
        <w:snapToGrid w:val="0"/>
        <w:spacing w:line="360" w:lineRule="auto"/>
        <w:ind w:firstLine="480"/>
        <w:rPr>
          <w:rFonts w:ascii="宋体" w:hAnsi="宋体"/>
          <w:bCs/>
          <w:sz w:val="24"/>
          <w:szCs w:val="24"/>
        </w:rPr>
      </w:pPr>
      <w:r>
        <w:rPr>
          <w:rFonts w:ascii="宋体" w:hAnsi="宋体"/>
          <w:bCs/>
          <w:sz w:val="24"/>
          <w:szCs w:val="24"/>
        </w:rPr>
        <w:t>9</w:t>
      </w:r>
      <w:r>
        <w:rPr>
          <w:rFonts w:ascii="宋体" w:hAnsi="宋体" w:hint="eastAsia"/>
          <w:bCs/>
          <w:sz w:val="24"/>
          <w:szCs w:val="24"/>
        </w:rPr>
        <w:t>、所投资的目标ETF暂停申购、暂停上市或二级市场交易停牌。</w:t>
      </w:r>
    </w:p>
    <w:p w14:paraId="236A5D8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10</w:t>
      </w:r>
      <w:r>
        <w:rPr>
          <w:rFonts w:ascii="宋体" w:hAnsi="宋体" w:hint="eastAsia"/>
          <w:bCs/>
          <w:sz w:val="24"/>
          <w:szCs w:val="24"/>
        </w:rPr>
        <w:t>、法律法规规定、中国证监会认定或基金合同约定的其他情形。</w:t>
      </w:r>
    </w:p>
    <w:p w14:paraId="429288B0" w14:textId="35AD746E" w:rsidR="00166BB1" w:rsidRDefault="00166BB1">
      <w:pPr>
        <w:adjustRightInd w:val="0"/>
        <w:snapToGrid w:val="0"/>
        <w:spacing w:line="360" w:lineRule="auto"/>
        <w:ind w:firstLineChars="200" w:firstLine="480"/>
        <w:rPr>
          <w:rFonts w:ascii="宋体" w:hAnsi="宋体" w:cs="宋体"/>
          <w:bCs/>
          <w:sz w:val="24"/>
          <w:szCs w:val="24"/>
          <w:shd w:val="pct10" w:color="auto" w:fill="FFFFFF"/>
        </w:rPr>
      </w:pPr>
      <w:r>
        <w:rPr>
          <w:rFonts w:ascii="宋体" w:hAnsi="宋体" w:hint="eastAsia"/>
          <w:bCs/>
          <w:sz w:val="24"/>
          <w:szCs w:val="24"/>
        </w:rPr>
        <w:t>发生上述第1、2、3、5、6、8、</w:t>
      </w:r>
      <w:r>
        <w:rPr>
          <w:rFonts w:ascii="宋体" w:hAnsi="宋体"/>
          <w:bCs/>
          <w:sz w:val="24"/>
          <w:szCs w:val="24"/>
        </w:rPr>
        <w:t>9</w:t>
      </w:r>
      <w:r>
        <w:rPr>
          <w:rFonts w:ascii="宋体" w:hAnsi="宋体" w:hint="eastAsia"/>
          <w:bCs/>
          <w:sz w:val="24"/>
          <w:szCs w:val="24"/>
        </w:rPr>
        <w:t>、1</w:t>
      </w:r>
      <w:r>
        <w:rPr>
          <w:rFonts w:ascii="宋体" w:hAnsi="宋体"/>
          <w:bCs/>
          <w:sz w:val="24"/>
          <w:szCs w:val="24"/>
        </w:rPr>
        <w:t>0</w:t>
      </w:r>
      <w:r>
        <w:rPr>
          <w:rFonts w:ascii="宋体" w:hAnsi="宋体" w:hint="eastAsia"/>
          <w:bCs/>
          <w:sz w:val="24"/>
          <w:szCs w:val="24"/>
        </w:rPr>
        <w:t>项暂停申购情形之一</w:t>
      </w:r>
      <w:proofErr w:type="gramStart"/>
      <w:r>
        <w:rPr>
          <w:rFonts w:ascii="宋体" w:hAnsi="宋体" w:hint="eastAsia"/>
          <w:bCs/>
          <w:sz w:val="24"/>
          <w:szCs w:val="24"/>
        </w:rPr>
        <w:t>且基金</w:t>
      </w:r>
      <w:proofErr w:type="gramEnd"/>
      <w:r>
        <w:rPr>
          <w:rFonts w:ascii="宋体" w:hAnsi="宋体" w:hint="eastAsia"/>
          <w:bCs/>
          <w:sz w:val="24"/>
          <w:szCs w:val="24"/>
        </w:rPr>
        <w:t>管理人决定暂停接受投资人申购申请时，基金管理人应当根据有关规定在规定媒介上刊登暂停申购公告。</w:t>
      </w:r>
      <w:r>
        <w:rPr>
          <w:rFonts w:ascii="宋体" w:hAnsi="宋体" w:hint="eastAsia"/>
          <w:b/>
          <w:bCs/>
          <w:sz w:val="24"/>
          <w:szCs w:val="24"/>
        </w:rPr>
        <w:t>如果投资人的申购申请被全部或部分拒绝的，被拒绝的申购款项将退还给投资人。在暂停申购的情况消除时，基金管理人应及时恢复申购业务的办理。</w:t>
      </w:r>
      <w:bookmarkStart w:id="125" w:name="_Hlt70481650"/>
      <w:bookmarkEnd w:id="125"/>
    </w:p>
    <w:p w14:paraId="0A92ABD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w:t>
      </w:r>
      <w:r>
        <w:rPr>
          <w:rFonts w:ascii="宋体" w:hAnsi="宋体"/>
          <w:bCs/>
          <w:sz w:val="24"/>
          <w:szCs w:val="24"/>
        </w:rPr>
        <w:t>暂停赎回或延缓支付赎回款项的情形</w:t>
      </w:r>
      <w:r>
        <w:rPr>
          <w:rFonts w:ascii="宋体" w:hAnsi="宋体" w:hint="eastAsia"/>
          <w:bCs/>
          <w:sz w:val="24"/>
          <w:szCs w:val="24"/>
        </w:rPr>
        <w:t>及处理方式</w:t>
      </w:r>
    </w:p>
    <w:p w14:paraId="37D64FA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发生下列情形时，基金管理人可暂停接受投资人的赎回申请或延缓支付赎回款项：</w:t>
      </w:r>
    </w:p>
    <w:p w14:paraId="33B9EA7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因不可抗力导致基金管理人不能支付赎回款项。</w:t>
      </w:r>
    </w:p>
    <w:p w14:paraId="7E64D7A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2、发生基金合同规定的暂停基金资产估值情况时，基金管理人可暂停接受投资人的赎回申请或延缓支付赎回款项。当前一估值日基金资产净值50%以上的资产出现无可参考的活跃市场价格且采用估值技术</w:t>
      </w:r>
      <w:proofErr w:type="gramStart"/>
      <w:r>
        <w:rPr>
          <w:rFonts w:ascii="宋体" w:hAnsi="宋体" w:hint="eastAsia"/>
          <w:bCs/>
          <w:sz w:val="24"/>
          <w:szCs w:val="24"/>
        </w:rPr>
        <w:t>仍导致</w:t>
      </w:r>
      <w:proofErr w:type="gramEnd"/>
      <w:r>
        <w:rPr>
          <w:rFonts w:ascii="宋体" w:hAnsi="宋体" w:hint="eastAsia"/>
          <w:bCs/>
          <w:sz w:val="24"/>
          <w:szCs w:val="24"/>
        </w:rPr>
        <w:t>公允价值存在重大不确定性时，经与基金托管人协商确认后，基金管理人应当采取延缓支付赎回款项或暂停接受赎回申请的措施。</w:t>
      </w:r>
    </w:p>
    <w:p w14:paraId="7DB22E9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3、证券/期货交易所依法决定临时停市或交易时间非正常停市，导致基金管理人无法计算当日基金资产净值或者无法办理基金的赎回业务或者无法进行证券交易时。</w:t>
      </w:r>
    </w:p>
    <w:p w14:paraId="37B2E3C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4、连续两个或两个以上开放日发生巨额赎回。</w:t>
      </w:r>
    </w:p>
    <w:p w14:paraId="64D8F95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、遵循基金份额持有人利益优先原则，发生继续接受赎回申请将损害现有基金份额持有人利益的情形时。</w:t>
      </w:r>
    </w:p>
    <w:p w14:paraId="72E1A92F" w14:textId="77777777" w:rsidR="00166BB1" w:rsidRDefault="00166BB1">
      <w:pPr>
        <w:snapToGrid w:val="0"/>
        <w:spacing w:line="360" w:lineRule="auto"/>
        <w:ind w:firstLine="480"/>
        <w:rPr>
          <w:rFonts w:ascii="宋体" w:hAnsi="宋体"/>
          <w:bCs/>
          <w:sz w:val="24"/>
          <w:szCs w:val="24"/>
        </w:rPr>
      </w:pPr>
      <w:r>
        <w:rPr>
          <w:rFonts w:ascii="宋体" w:hAnsi="宋体"/>
          <w:bCs/>
          <w:sz w:val="24"/>
          <w:szCs w:val="24"/>
        </w:rPr>
        <w:t>6</w:t>
      </w:r>
      <w:r>
        <w:rPr>
          <w:rFonts w:ascii="宋体" w:hAnsi="宋体" w:hint="eastAsia"/>
          <w:bCs/>
          <w:sz w:val="24"/>
          <w:szCs w:val="24"/>
        </w:rPr>
        <w:t>、所投资的目标ETF暂停估值、暂停公告基金份额净值，导致基金管理人无法计算当日基金资产净值。</w:t>
      </w:r>
    </w:p>
    <w:p w14:paraId="56246D94" w14:textId="77777777" w:rsidR="00166BB1" w:rsidRDefault="00166BB1">
      <w:pPr>
        <w:snapToGrid w:val="0"/>
        <w:spacing w:line="360" w:lineRule="auto"/>
        <w:ind w:firstLine="480"/>
        <w:rPr>
          <w:rFonts w:ascii="宋体" w:hAnsi="宋体"/>
          <w:bCs/>
          <w:sz w:val="24"/>
          <w:szCs w:val="24"/>
        </w:rPr>
      </w:pPr>
      <w:r>
        <w:rPr>
          <w:rFonts w:ascii="宋体" w:hAnsi="宋体"/>
          <w:bCs/>
          <w:sz w:val="24"/>
          <w:szCs w:val="24"/>
        </w:rPr>
        <w:t>7</w:t>
      </w:r>
      <w:r>
        <w:rPr>
          <w:rFonts w:ascii="宋体" w:hAnsi="宋体" w:hint="eastAsia"/>
          <w:bCs/>
          <w:sz w:val="24"/>
          <w:szCs w:val="24"/>
        </w:rPr>
        <w:t>、所投资的目标ETF暂停赎回、暂停上市或二级市场交易停牌，或延缓支付赎回对价时。</w:t>
      </w:r>
    </w:p>
    <w:p w14:paraId="4E8CAA3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8、法律法规规定、中国证监会认定或基金合同约定的其他情形。</w:t>
      </w:r>
    </w:p>
    <w:p w14:paraId="056A1B6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发生上述情形之一</w:t>
      </w:r>
      <w:proofErr w:type="gramStart"/>
      <w:r>
        <w:rPr>
          <w:rFonts w:ascii="宋体" w:hAnsi="宋体" w:hint="eastAsia"/>
          <w:bCs/>
          <w:sz w:val="24"/>
          <w:szCs w:val="24"/>
        </w:rPr>
        <w:t>且基金</w:t>
      </w:r>
      <w:proofErr w:type="gramEnd"/>
      <w:r>
        <w:rPr>
          <w:rFonts w:ascii="宋体" w:hAnsi="宋体" w:hint="eastAsia"/>
          <w:bCs/>
          <w:sz w:val="24"/>
          <w:szCs w:val="24"/>
        </w:rPr>
        <w:t>管理人决定暂停赎回或延缓支付赎回款项时，基金</w:t>
      </w:r>
      <w:r>
        <w:rPr>
          <w:rFonts w:ascii="宋体" w:hAnsi="宋体" w:hint="eastAsia"/>
          <w:bCs/>
          <w:sz w:val="24"/>
          <w:szCs w:val="24"/>
        </w:rPr>
        <w:lastRenderedPageBreak/>
        <w:t>管理人应根据有关规定报中国证监会备案，已确认的赎回申请，基金管理人应足额支付；如暂时不能足额支付，应将可支付部分按单个账户申请量占申请总量的比例分配给赎回申请人，未支付部分可延缓支付。</w:t>
      </w:r>
      <w:r>
        <w:rPr>
          <w:rFonts w:ascii="宋体" w:hAnsi="宋体" w:hint="eastAsia"/>
          <w:sz w:val="24"/>
          <w:szCs w:val="24"/>
        </w:rPr>
        <w:t>若出现上述第</w:t>
      </w:r>
      <w:r>
        <w:rPr>
          <w:rFonts w:ascii="宋体" w:hAnsi="宋体"/>
          <w:sz w:val="24"/>
          <w:szCs w:val="24"/>
        </w:rPr>
        <w:t>4</w:t>
      </w:r>
      <w:r>
        <w:rPr>
          <w:rFonts w:ascii="宋体" w:hAnsi="宋体" w:hint="eastAsia"/>
          <w:sz w:val="24"/>
          <w:szCs w:val="24"/>
        </w:rPr>
        <w:t>项所述情形，按基金合同的相关条款处理。基金份额持有人在申请赎回时可事先选择将当日可能未获受理部分予以撤销。</w:t>
      </w:r>
      <w:r>
        <w:rPr>
          <w:rFonts w:ascii="宋体" w:hAnsi="宋体" w:hint="eastAsia"/>
          <w:bCs/>
          <w:sz w:val="24"/>
          <w:szCs w:val="24"/>
        </w:rPr>
        <w:t>如暂停本</w:t>
      </w:r>
      <w:proofErr w:type="gramStart"/>
      <w:r>
        <w:rPr>
          <w:rFonts w:ascii="宋体" w:hAnsi="宋体" w:hint="eastAsia"/>
          <w:bCs/>
          <w:sz w:val="24"/>
          <w:szCs w:val="24"/>
        </w:rPr>
        <w:t>基金</w:t>
      </w:r>
      <w:r>
        <w:rPr>
          <w:rFonts w:ascii="宋体" w:hAnsi="宋体"/>
          <w:bCs/>
          <w:sz w:val="24"/>
          <w:szCs w:val="24"/>
        </w:rPr>
        <w:t>基金</w:t>
      </w:r>
      <w:proofErr w:type="gramEnd"/>
      <w:r>
        <w:rPr>
          <w:rFonts w:ascii="宋体" w:hAnsi="宋体" w:hint="eastAsia"/>
          <w:bCs/>
          <w:sz w:val="24"/>
          <w:szCs w:val="24"/>
        </w:rPr>
        <w:t>份额的赎回，基金管理人应及时在规定媒介上刊登暂停赎回公告。在暂停赎回的情况消除时，基金管理人应及时恢复赎回业务的办理并公告。</w:t>
      </w:r>
    </w:p>
    <w:p w14:paraId="52AB079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w:t>
      </w:r>
      <w:r>
        <w:rPr>
          <w:rFonts w:ascii="宋体" w:hAnsi="宋体"/>
          <w:bCs/>
          <w:sz w:val="24"/>
          <w:szCs w:val="24"/>
        </w:rPr>
        <w:t>巨额赎回的情形及处理方式</w:t>
      </w:r>
    </w:p>
    <w:p w14:paraId="064E909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w:t>
      </w:r>
      <w:r>
        <w:rPr>
          <w:rFonts w:ascii="宋体" w:hAnsi="宋体"/>
          <w:bCs/>
          <w:sz w:val="24"/>
          <w:szCs w:val="24"/>
        </w:rPr>
        <w:t>巨额赎回的认定</w:t>
      </w:r>
    </w:p>
    <w:p w14:paraId="0F0D797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若本基金单个开放日内的基金份额净赎回申请</w:t>
      </w:r>
      <w:r>
        <w:rPr>
          <w:rFonts w:ascii="宋体" w:hAnsi="宋体" w:hint="eastAsia"/>
          <w:bCs/>
          <w:sz w:val="24"/>
          <w:szCs w:val="24"/>
        </w:rPr>
        <w:t>（</w:t>
      </w:r>
      <w:r>
        <w:rPr>
          <w:rFonts w:ascii="宋体" w:hAnsi="宋体"/>
          <w:bCs/>
          <w:sz w:val="24"/>
          <w:szCs w:val="24"/>
        </w:rPr>
        <w:t>赎回申请份额总数加上基金转换中转出申请份额总数后扣除申购申请份额总数及基金转换中转入申请份额总数后的余额</w:t>
      </w:r>
      <w:r>
        <w:rPr>
          <w:rFonts w:ascii="宋体" w:hAnsi="宋体" w:hint="eastAsia"/>
          <w:bCs/>
          <w:sz w:val="24"/>
          <w:szCs w:val="24"/>
        </w:rPr>
        <w:t>）</w:t>
      </w:r>
      <w:r>
        <w:rPr>
          <w:rFonts w:ascii="宋体" w:hAnsi="宋体"/>
          <w:bCs/>
          <w:sz w:val="24"/>
          <w:szCs w:val="24"/>
        </w:rPr>
        <w:t>超过前一</w:t>
      </w:r>
      <w:r>
        <w:rPr>
          <w:rFonts w:ascii="宋体" w:hAnsi="宋体" w:hint="eastAsia"/>
          <w:bCs/>
          <w:sz w:val="24"/>
          <w:szCs w:val="24"/>
        </w:rPr>
        <w:t>开放</w:t>
      </w:r>
      <w:r>
        <w:rPr>
          <w:rFonts w:ascii="宋体" w:hAnsi="宋体"/>
          <w:bCs/>
          <w:sz w:val="24"/>
          <w:szCs w:val="24"/>
        </w:rPr>
        <w:t>日的基金总份额的10</w:t>
      </w:r>
      <w:r>
        <w:rPr>
          <w:rFonts w:ascii="宋体" w:hAnsi="宋体" w:hint="eastAsia"/>
          <w:bCs/>
          <w:sz w:val="24"/>
          <w:szCs w:val="24"/>
        </w:rPr>
        <w:t>%</w:t>
      </w:r>
      <w:r>
        <w:rPr>
          <w:rFonts w:ascii="宋体" w:hAnsi="宋体"/>
          <w:bCs/>
          <w:sz w:val="24"/>
          <w:szCs w:val="24"/>
        </w:rPr>
        <w:t>，即认为是发生了巨额赎回。</w:t>
      </w:r>
    </w:p>
    <w:p w14:paraId="12F9EC87" w14:textId="77777777" w:rsidR="00166BB1" w:rsidRDefault="00166BB1">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2</w:t>
      </w:r>
      <w:r>
        <w:rPr>
          <w:rFonts w:asciiTheme="minorEastAsia" w:eastAsiaTheme="minorEastAsia" w:hAnsiTheme="minorEastAsia" w:hint="eastAsia"/>
          <w:bCs/>
          <w:sz w:val="24"/>
          <w:szCs w:val="24"/>
        </w:rPr>
        <w:t>、</w:t>
      </w:r>
      <w:r>
        <w:rPr>
          <w:rFonts w:asciiTheme="minorEastAsia" w:eastAsiaTheme="minorEastAsia" w:hAnsiTheme="minorEastAsia"/>
          <w:bCs/>
          <w:sz w:val="24"/>
          <w:szCs w:val="24"/>
        </w:rPr>
        <w:t>巨额赎回的处理方式</w:t>
      </w:r>
    </w:p>
    <w:p w14:paraId="18F3BB28" w14:textId="77777777" w:rsidR="00166BB1" w:rsidRDefault="00166BB1">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当基金出现巨额赎回时，基金管理人可以根据基金当时的资产组合状况决定全额赎回或</w:t>
      </w:r>
      <w:r>
        <w:rPr>
          <w:rFonts w:asciiTheme="minorEastAsia" w:eastAsiaTheme="minorEastAsia" w:hAnsiTheme="minorEastAsia" w:hint="eastAsia"/>
          <w:bCs/>
          <w:sz w:val="24"/>
          <w:szCs w:val="24"/>
        </w:rPr>
        <w:t>部分延期赎回</w:t>
      </w:r>
      <w:r>
        <w:rPr>
          <w:rFonts w:asciiTheme="minorEastAsia" w:eastAsiaTheme="minorEastAsia" w:hAnsiTheme="minorEastAsia"/>
          <w:bCs/>
          <w:sz w:val="24"/>
          <w:szCs w:val="24"/>
        </w:rPr>
        <w:t>。</w:t>
      </w:r>
    </w:p>
    <w:p w14:paraId="595FA547" w14:textId="77777777" w:rsidR="00166BB1" w:rsidRDefault="00166BB1">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bCs/>
          <w:sz w:val="24"/>
          <w:szCs w:val="24"/>
        </w:rPr>
        <w:t>（1）全额赎回：当基金管理人认为有能力支付投资人的全部赎回申请时，按正常赎回程序执行。</w:t>
      </w:r>
    </w:p>
    <w:p w14:paraId="45547407" w14:textId="77777777" w:rsidR="00166BB1" w:rsidRDefault="00166BB1">
      <w:pPr>
        <w:adjustRightInd w:val="0"/>
        <w:snapToGrid w:val="0"/>
        <w:spacing w:line="360" w:lineRule="auto"/>
        <w:ind w:firstLineChars="200" w:firstLine="480"/>
        <w:rPr>
          <w:rFonts w:asciiTheme="minorEastAsia" w:eastAsiaTheme="minorEastAsia" w:hAnsiTheme="minorEastAsia"/>
          <w:bCs/>
          <w:sz w:val="24"/>
          <w:szCs w:val="24"/>
        </w:rPr>
      </w:pPr>
      <w:r>
        <w:rPr>
          <w:rFonts w:asciiTheme="minorEastAsia" w:eastAsiaTheme="minorEastAsia" w:hAnsiTheme="minorEastAsia" w:hint="eastAsia"/>
          <w:bCs/>
          <w:sz w:val="24"/>
          <w:szCs w:val="24"/>
        </w:rPr>
        <w:t>（2）部分延期赎回：</w:t>
      </w:r>
      <w:bookmarkStart w:id="126" w:name="_Hlk156626333"/>
      <w:r>
        <w:rPr>
          <w:rFonts w:asciiTheme="minorEastAsia" w:eastAsiaTheme="minorEastAsia" w:hAnsiTheme="minorEastAsia" w:hint="eastAsia"/>
          <w:bCs/>
          <w:sz w:val="24"/>
          <w:szCs w:val="24"/>
        </w:rPr>
        <w:t>当基金管理人认为支付投资人的赎回申请有困难或认为因支付投资人的赎回申请而进行的财产变现可能会对基金资产净值造成较大波动时，基金管理人在当日接受赎回比例不低于上一开放日基金总份额的10%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Pr>
          <w:rFonts w:asciiTheme="minorEastAsia" w:eastAsiaTheme="minorEastAsia" w:hAnsiTheme="minorEastAsia" w:hint="eastAsia"/>
          <w:bCs/>
          <w:sz w:val="24"/>
          <w:szCs w:val="24"/>
        </w:rPr>
        <w:t>并以下</w:t>
      </w:r>
      <w:proofErr w:type="gramEnd"/>
      <w:r>
        <w:rPr>
          <w:rFonts w:asciiTheme="minorEastAsia" w:eastAsiaTheme="minorEastAsia" w:hAnsiTheme="minorEastAsia" w:hint="eastAsia"/>
          <w:bCs/>
          <w:sz w:val="24"/>
          <w:szCs w:val="24"/>
        </w:rPr>
        <w:t>一开放</w:t>
      </w:r>
      <w:proofErr w:type="gramStart"/>
      <w:r>
        <w:rPr>
          <w:rFonts w:asciiTheme="minorEastAsia" w:eastAsiaTheme="minorEastAsia" w:hAnsiTheme="minorEastAsia" w:hint="eastAsia"/>
          <w:bCs/>
          <w:sz w:val="24"/>
          <w:szCs w:val="24"/>
        </w:rPr>
        <w:t>日相应</w:t>
      </w:r>
      <w:proofErr w:type="gramEnd"/>
      <w:r>
        <w:rPr>
          <w:rFonts w:asciiTheme="minorEastAsia" w:eastAsiaTheme="minorEastAsia" w:hAnsiTheme="minorEastAsia" w:hint="eastAsia"/>
          <w:bCs/>
          <w:sz w:val="24"/>
          <w:szCs w:val="24"/>
        </w:rPr>
        <w:t>类别的基金份额净值为基础计算赎回金额，以此类推，直到全部赎回为止。如投资人在提交赎回申请时未作明确选择，投资人未能赎回部分作自动延期赎回处理。部分延期赎回不受单笔赎回最低份额的限制。当出现巨额赎回时，基金转换中转出份额的申请的处理方式遵照相关的业务规则及相关公告</w:t>
      </w:r>
      <w:bookmarkEnd w:id="126"/>
      <w:r>
        <w:rPr>
          <w:rFonts w:asciiTheme="minorEastAsia" w:eastAsiaTheme="minorEastAsia" w:hAnsiTheme="minorEastAsia" w:hint="eastAsia"/>
          <w:bCs/>
          <w:sz w:val="24"/>
          <w:szCs w:val="24"/>
        </w:rPr>
        <w:t>。</w:t>
      </w:r>
    </w:p>
    <w:p w14:paraId="53F40536" w14:textId="77777777" w:rsidR="00166BB1" w:rsidRDefault="00166BB1">
      <w:pPr>
        <w:adjustRightInd w:val="0"/>
        <w:snapToGrid w:val="0"/>
        <w:spacing w:line="360" w:lineRule="auto"/>
        <w:ind w:firstLineChars="200" w:firstLine="480"/>
        <w:rPr>
          <w:rFonts w:ascii="黑体" w:hAnsi="黑体"/>
          <w:bCs/>
          <w:sz w:val="24"/>
          <w:szCs w:val="24"/>
        </w:rPr>
      </w:pPr>
      <w:r>
        <w:rPr>
          <w:rFonts w:asciiTheme="minorEastAsia" w:eastAsiaTheme="minorEastAsia" w:hAnsiTheme="minorEastAsia" w:hint="eastAsia"/>
          <w:bCs/>
          <w:sz w:val="24"/>
          <w:szCs w:val="24"/>
        </w:rPr>
        <w:lastRenderedPageBreak/>
        <w:t>（3）在本基金出现巨额赎回且单个基金份额持有人的赎回申请超过上一开放日基金总份额的20%（不含2</w:t>
      </w:r>
      <w:r>
        <w:rPr>
          <w:rFonts w:asciiTheme="minorEastAsia" w:eastAsiaTheme="minorEastAsia" w:hAnsiTheme="minorEastAsia"/>
          <w:bCs/>
          <w:sz w:val="24"/>
          <w:szCs w:val="24"/>
        </w:rPr>
        <w:t>0</w:t>
      </w:r>
      <w:r>
        <w:rPr>
          <w:rFonts w:asciiTheme="minorEastAsia" w:eastAsiaTheme="minorEastAsia" w:hAnsiTheme="minorEastAsia" w:hint="eastAsia"/>
          <w:bCs/>
          <w:sz w:val="24"/>
          <w:szCs w:val="24"/>
        </w:rPr>
        <w:t>%）时，基金管理人认为支付该基金份额持有人的全部赎回申请有困难或认为因支付该基金份额持有人的全部赎回申请而进行的财产变现可能会对基金资产净值造成较大波动时，对于该基金份额持有人当日提出的赎回申请中超过上一开放日基金总份额20%（不含20%）的部分，基金管理人可以延期办理。对于未能赎回部分，单个基金份额持有人在提交赎回申请时可以选择延期赎回或取消赎回。选择延期赎回的，将自动转入下一个开放日继续赎回，延期的赎回申请与下一开放日赎回申请一并处理，无优先权</w:t>
      </w:r>
      <w:proofErr w:type="gramStart"/>
      <w:r>
        <w:rPr>
          <w:rFonts w:asciiTheme="minorEastAsia" w:eastAsiaTheme="minorEastAsia" w:hAnsiTheme="minorEastAsia" w:hint="eastAsia"/>
          <w:bCs/>
          <w:sz w:val="24"/>
          <w:szCs w:val="24"/>
        </w:rPr>
        <w:t>并以下</w:t>
      </w:r>
      <w:proofErr w:type="gramEnd"/>
      <w:r>
        <w:rPr>
          <w:rFonts w:asciiTheme="minorEastAsia" w:eastAsiaTheme="minorEastAsia" w:hAnsiTheme="minorEastAsia" w:hint="eastAsia"/>
          <w:bCs/>
          <w:sz w:val="24"/>
          <w:szCs w:val="24"/>
        </w:rPr>
        <w:t>一开放</w:t>
      </w:r>
      <w:proofErr w:type="gramStart"/>
      <w:r>
        <w:rPr>
          <w:rFonts w:asciiTheme="minorEastAsia" w:eastAsiaTheme="minorEastAsia" w:hAnsiTheme="minorEastAsia" w:hint="eastAsia"/>
          <w:bCs/>
          <w:sz w:val="24"/>
          <w:szCs w:val="24"/>
        </w:rPr>
        <w:t>日相应</w:t>
      </w:r>
      <w:proofErr w:type="gramEnd"/>
      <w:r>
        <w:rPr>
          <w:rFonts w:asciiTheme="minorEastAsia" w:eastAsiaTheme="minorEastAsia" w:hAnsiTheme="minorEastAsia" w:hint="eastAsia"/>
          <w:bCs/>
          <w:sz w:val="24"/>
          <w:szCs w:val="24"/>
        </w:rPr>
        <w:t>类别的基金份额净值为基础计算赎回金额，以此类推，直到全部赎回为止；选择取消赎回的，当日未获受理的部分赎回申请将被撤销</w:t>
      </w:r>
      <w:r>
        <w:rPr>
          <w:rFonts w:ascii="黑体" w:hAnsi="黑体" w:hint="eastAsia"/>
          <w:bCs/>
          <w:sz w:val="24"/>
          <w:szCs w:val="24"/>
        </w:rPr>
        <w:t>。如该单个基金份额持有人在提交赎回申请时未作明确选择，该单个基金份额持有人未能赎回部分作自动延期赎回处理。部分延期赎回不受单笔赎回最低份额的限制。当出现巨额赎回时，基金转换中转出份额的申请的处理方式遵照相关的业务规则及相关公告。</w:t>
      </w:r>
    </w:p>
    <w:p w14:paraId="5378CC32" w14:textId="77777777" w:rsidR="00166BB1" w:rsidRDefault="00166BB1">
      <w:pPr>
        <w:adjustRightInd w:val="0"/>
        <w:snapToGrid w:val="0"/>
        <w:spacing w:line="360" w:lineRule="auto"/>
        <w:ind w:firstLineChars="200" w:firstLine="480"/>
        <w:rPr>
          <w:rFonts w:ascii="宋体" w:hAnsi="宋体"/>
          <w:bCs/>
          <w:sz w:val="24"/>
          <w:szCs w:val="24"/>
        </w:rPr>
      </w:pPr>
      <w:r>
        <w:rPr>
          <w:rFonts w:ascii="黑体" w:hAnsi="黑体" w:hint="eastAsia"/>
          <w:bCs/>
          <w:sz w:val="24"/>
          <w:szCs w:val="24"/>
        </w:rPr>
        <w:t>对于该基金份额持有人当日提出的赎回申请中未超过上一开放日基金总份额</w:t>
      </w:r>
      <w:r>
        <w:rPr>
          <w:rFonts w:asciiTheme="minorEastAsia" w:eastAsiaTheme="minorEastAsia" w:hAnsiTheme="minorEastAsia" w:hint="eastAsia"/>
          <w:bCs/>
          <w:sz w:val="24"/>
          <w:szCs w:val="24"/>
        </w:rPr>
        <w:t>20%（含20%）的部分，</w:t>
      </w:r>
      <w:r>
        <w:rPr>
          <w:rFonts w:ascii="黑体" w:hAnsi="黑体" w:hint="eastAsia"/>
          <w:bCs/>
          <w:sz w:val="24"/>
          <w:szCs w:val="24"/>
        </w:rPr>
        <w:t>基金管理人可以采取全额赎回或部分延期赎回的方式，与其他基金份额持有人的赎回申请一并办理，并且对于该基金份额持有人和其他基金份额持有人的赎回申请采取相同的处理方式。对于前述未能赎回部分，基金份额持有人在提交赎回申请时可以选择延期赎回或取消赎回。选择延期赎回的，将自动转入下一个开放日继续赎回，延期的赎回申请与下一开放日赎回申请一并处理，无优先权</w:t>
      </w:r>
      <w:proofErr w:type="gramStart"/>
      <w:r>
        <w:rPr>
          <w:rFonts w:ascii="黑体" w:hAnsi="黑体" w:hint="eastAsia"/>
          <w:bCs/>
          <w:sz w:val="24"/>
          <w:szCs w:val="24"/>
        </w:rPr>
        <w:t>并以下</w:t>
      </w:r>
      <w:proofErr w:type="gramEnd"/>
      <w:r>
        <w:rPr>
          <w:rFonts w:ascii="黑体" w:hAnsi="黑体" w:hint="eastAsia"/>
          <w:bCs/>
          <w:sz w:val="24"/>
          <w:szCs w:val="24"/>
        </w:rPr>
        <w:t>一开放</w:t>
      </w:r>
      <w:proofErr w:type="gramStart"/>
      <w:r>
        <w:rPr>
          <w:rFonts w:ascii="黑体" w:hAnsi="黑体" w:hint="eastAsia"/>
          <w:bCs/>
          <w:sz w:val="24"/>
          <w:szCs w:val="24"/>
        </w:rPr>
        <w:t>日相应</w:t>
      </w:r>
      <w:proofErr w:type="gramEnd"/>
      <w:r>
        <w:rPr>
          <w:rFonts w:ascii="黑体" w:hAnsi="黑体" w:hint="eastAsia"/>
          <w:bCs/>
          <w:sz w:val="24"/>
          <w:szCs w:val="24"/>
        </w:rPr>
        <w:t>类别的基金份额净值为基础计算赎回金额，以此类推，直到全部赎回为止；选择取消赎回的，当日未获受理的部分赎回申请将被撤销。如该单个基金份额持有人在提交赎回申请时未作明确选择，该单个基金份额持有人未能赎回部分作自动延期赎回处理。部分延期赎回不受单笔赎回最低份额的限制。当出现巨额赎回时，基金转换中转出份额的申请的处理方式遵照相关的业务规则及相关公告</w:t>
      </w:r>
      <w:r>
        <w:rPr>
          <w:rFonts w:ascii="宋体" w:hAnsi="宋体" w:hint="eastAsia"/>
          <w:bCs/>
          <w:sz w:val="24"/>
          <w:szCs w:val="24"/>
        </w:rPr>
        <w:t>。</w:t>
      </w:r>
    </w:p>
    <w:p w14:paraId="5C3E835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（4）暂停赎回：连续</w:t>
      </w:r>
      <w:r>
        <w:rPr>
          <w:rFonts w:ascii="宋体" w:hAnsi="宋体" w:hint="eastAsia"/>
          <w:bCs/>
          <w:sz w:val="24"/>
          <w:szCs w:val="24"/>
        </w:rPr>
        <w:t>2个开放</w:t>
      </w:r>
      <w:r>
        <w:rPr>
          <w:rFonts w:ascii="宋体" w:hAnsi="宋体"/>
          <w:bCs/>
          <w:sz w:val="24"/>
          <w:szCs w:val="24"/>
        </w:rPr>
        <w:t>日以上（含本数）发生巨额赎回，如基金管理人认为有必要，可暂停接受基金的赎回申请；已经接受的赎回申请可以延缓支付赎回款项，但不得超过</w:t>
      </w:r>
      <w:r>
        <w:rPr>
          <w:rFonts w:ascii="宋体" w:hAnsi="宋体" w:hint="eastAsia"/>
          <w:bCs/>
          <w:sz w:val="24"/>
          <w:szCs w:val="24"/>
        </w:rPr>
        <w:t>20</w:t>
      </w:r>
      <w:r>
        <w:rPr>
          <w:rFonts w:ascii="宋体" w:hAnsi="宋体"/>
          <w:bCs/>
          <w:sz w:val="24"/>
          <w:szCs w:val="24"/>
        </w:rPr>
        <w:t>个工作日，并应当在规定媒介上进行公告。</w:t>
      </w:r>
    </w:p>
    <w:p w14:paraId="6542618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w:t>
      </w:r>
      <w:r>
        <w:rPr>
          <w:rFonts w:ascii="宋体" w:hAnsi="宋体" w:hint="eastAsia"/>
          <w:bCs/>
          <w:sz w:val="24"/>
          <w:szCs w:val="24"/>
        </w:rPr>
        <w:t>、</w:t>
      </w:r>
      <w:r>
        <w:rPr>
          <w:rFonts w:ascii="宋体" w:hAnsi="宋体" w:hint="eastAsia"/>
          <w:sz w:val="24"/>
          <w:szCs w:val="24"/>
        </w:rPr>
        <w:t>巨额赎回的公告</w:t>
      </w:r>
    </w:p>
    <w:p w14:paraId="3EA42A3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sz w:val="24"/>
          <w:szCs w:val="24"/>
        </w:rPr>
        <w:t>当发生上述巨额赎回并延期办理时，基金管理人应依照《信息披露办法》的</w:t>
      </w:r>
      <w:r>
        <w:rPr>
          <w:rFonts w:ascii="宋体" w:hAnsi="宋体" w:hint="eastAsia"/>
          <w:sz w:val="24"/>
          <w:szCs w:val="24"/>
        </w:rPr>
        <w:lastRenderedPageBreak/>
        <w:t>有关规定在规定媒介上刊登公告说明有关处理方法。</w:t>
      </w:r>
    </w:p>
    <w:p w14:paraId="3AF5813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w:t>
      </w:r>
      <w:r>
        <w:rPr>
          <w:rFonts w:ascii="宋体" w:hAnsi="宋体"/>
          <w:bCs/>
          <w:sz w:val="24"/>
          <w:szCs w:val="24"/>
        </w:rPr>
        <w:t>暂停申购或赎回的公告和重新开放申购或赎回的公告</w:t>
      </w:r>
    </w:p>
    <w:p w14:paraId="7769E12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1、发生上述暂停申购或赎回情况的，基金管理人应在规定期限内在规定媒介上刊登暂停公告。</w:t>
      </w:r>
    </w:p>
    <w:p w14:paraId="33EFA9C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黑体" w:hAnsi="黑体" w:hint="eastAsia"/>
          <w:bCs/>
          <w:sz w:val="24"/>
          <w:szCs w:val="24"/>
        </w:rPr>
        <w:t>上述暂停申购或赎回情况消除的，基金管理人应于重新开放日公布最近</w:t>
      </w:r>
      <w:r>
        <w:rPr>
          <w:rFonts w:ascii="黑体" w:hAnsi="黑体" w:hint="eastAsia"/>
          <w:bCs/>
          <w:sz w:val="24"/>
          <w:szCs w:val="24"/>
        </w:rPr>
        <w:t>1</w:t>
      </w:r>
      <w:r>
        <w:rPr>
          <w:rFonts w:ascii="黑体" w:hAnsi="黑体" w:hint="eastAsia"/>
          <w:bCs/>
          <w:sz w:val="24"/>
          <w:szCs w:val="24"/>
        </w:rPr>
        <w:t>个开放日的各类基金份额的基金份额净值</w:t>
      </w:r>
      <w:r>
        <w:rPr>
          <w:rFonts w:ascii="宋体" w:hAnsi="宋体" w:hint="eastAsia"/>
          <w:bCs/>
          <w:sz w:val="24"/>
          <w:szCs w:val="24"/>
        </w:rPr>
        <w:t>。</w:t>
      </w:r>
    </w:p>
    <w:p w14:paraId="0C500C1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管理人可以根据暂停申购或赎回的时间，依照《信息披露办法》的有关规定在规定媒介上刊登重新开放申购或赎回的公告；也可以根据实际情况在暂停申购或赎回公告中明确重新开放申购或赎回的时间，届时不再另行发布重新开放的公告。</w:t>
      </w:r>
    </w:p>
    <w:p w14:paraId="75EC599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一、</w:t>
      </w:r>
      <w:r>
        <w:rPr>
          <w:rFonts w:ascii="宋体" w:hAnsi="宋体"/>
          <w:bCs/>
          <w:sz w:val="24"/>
          <w:szCs w:val="24"/>
        </w:rPr>
        <w:t>基金转换</w:t>
      </w:r>
    </w:p>
    <w:p w14:paraId="0735FF8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3D979EE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十二、基金份额的转让</w:t>
      </w:r>
    </w:p>
    <w:p w14:paraId="7CB7CFB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32A9A55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三、</w:t>
      </w:r>
      <w:r>
        <w:rPr>
          <w:rFonts w:ascii="宋体" w:hAnsi="宋体"/>
          <w:bCs/>
          <w:sz w:val="24"/>
          <w:szCs w:val="24"/>
        </w:rPr>
        <w:t>基金的</w:t>
      </w:r>
      <w:proofErr w:type="gramStart"/>
      <w:r>
        <w:rPr>
          <w:rFonts w:ascii="宋体" w:hAnsi="宋体"/>
          <w:bCs/>
          <w:sz w:val="24"/>
          <w:szCs w:val="24"/>
        </w:rPr>
        <w:t>非交易</w:t>
      </w:r>
      <w:proofErr w:type="gramEnd"/>
      <w:r>
        <w:rPr>
          <w:rFonts w:ascii="宋体" w:hAnsi="宋体"/>
          <w:bCs/>
          <w:sz w:val="24"/>
          <w:szCs w:val="24"/>
        </w:rPr>
        <w:t>过户</w:t>
      </w:r>
    </w:p>
    <w:p w14:paraId="31388AB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基金的</w:t>
      </w:r>
      <w:proofErr w:type="gramStart"/>
      <w:r>
        <w:rPr>
          <w:rFonts w:ascii="宋体" w:hAnsi="宋体" w:hint="eastAsia"/>
          <w:bCs/>
          <w:sz w:val="24"/>
          <w:szCs w:val="24"/>
        </w:rPr>
        <w:t>非交易</w:t>
      </w:r>
      <w:proofErr w:type="gramEnd"/>
      <w:r>
        <w:rPr>
          <w:rFonts w:ascii="宋体" w:hAnsi="宋体" w:hint="eastAsia"/>
          <w:bCs/>
          <w:sz w:val="24"/>
          <w:szCs w:val="24"/>
        </w:rPr>
        <w:t>过户是指基金登记机构受理继承、捐赠和司法强制执行等情形而产生的</w:t>
      </w:r>
      <w:proofErr w:type="gramStart"/>
      <w:r>
        <w:rPr>
          <w:rFonts w:ascii="宋体" w:hAnsi="宋体" w:hint="eastAsia"/>
          <w:bCs/>
          <w:sz w:val="24"/>
          <w:szCs w:val="24"/>
        </w:rPr>
        <w:t>非交易</w:t>
      </w:r>
      <w:proofErr w:type="gramEnd"/>
      <w:r>
        <w:rPr>
          <w:rFonts w:ascii="宋体" w:hAnsi="宋体" w:hint="eastAsia"/>
          <w:bCs/>
          <w:sz w:val="24"/>
          <w:szCs w:val="24"/>
        </w:rPr>
        <w:t>过户以及登记机构认可、符合法律法规的其它</w:t>
      </w:r>
      <w:proofErr w:type="gramStart"/>
      <w:r>
        <w:rPr>
          <w:rFonts w:ascii="宋体" w:hAnsi="宋体" w:hint="eastAsia"/>
          <w:bCs/>
          <w:sz w:val="24"/>
          <w:szCs w:val="24"/>
        </w:rPr>
        <w:t>非交易</w:t>
      </w:r>
      <w:proofErr w:type="gramEnd"/>
      <w:r>
        <w:rPr>
          <w:rFonts w:ascii="宋体" w:hAnsi="宋体" w:hint="eastAsia"/>
          <w:bCs/>
          <w:sz w:val="24"/>
          <w:szCs w:val="24"/>
        </w:rPr>
        <w:t>过户。无论在上述何种情况下，接受划转的主体必须是依法可以持有本</w:t>
      </w:r>
      <w:proofErr w:type="gramStart"/>
      <w:r>
        <w:rPr>
          <w:rFonts w:ascii="宋体" w:hAnsi="宋体" w:hint="eastAsia"/>
          <w:bCs/>
          <w:sz w:val="24"/>
          <w:szCs w:val="24"/>
        </w:rPr>
        <w:t>基金基金</w:t>
      </w:r>
      <w:proofErr w:type="gramEnd"/>
      <w:r>
        <w:rPr>
          <w:rFonts w:ascii="宋体" w:hAnsi="宋体" w:hint="eastAsia"/>
          <w:bCs/>
          <w:sz w:val="24"/>
          <w:szCs w:val="24"/>
        </w:rPr>
        <w:t>份额的投资人，或者是按照相关法律法规或国家有权机关要求的划转主体。</w:t>
      </w:r>
    </w:p>
    <w:p w14:paraId="612E6A5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继承是指基金份额持有人死亡，其持有的基金份额由其合法的继承人继承；</w:t>
      </w:r>
      <w:proofErr w:type="gramStart"/>
      <w:r>
        <w:rPr>
          <w:rFonts w:ascii="宋体" w:hAnsi="宋体" w:hint="eastAsia"/>
          <w:bCs/>
          <w:sz w:val="24"/>
          <w:szCs w:val="24"/>
        </w:rPr>
        <w:t>捐赠指</w:t>
      </w:r>
      <w:proofErr w:type="gramEnd"/>
      <w:r>
        <w:rPr>
          <w:rFonts w:ascii="宋体" w:hAnsi="宋体" w:hint="eastAsia"/>
          <w:bCs/>
          <w:sz w:val="24"/>
          <w:szCs w:val="24"/>
        </w:rPr>
        <w:t>基金份额持有人将其合法持有的基金份额捐赠给福利性质的基金会或社会团体；司法强制执行是指司法机构依据生效司法文书将基金份额持有人持有的基金份额强制划转给其他自然人、法人或其他组织或者以其他方式处分。办理</w:t>
      </w:r>
      <w:proofErr w:type="gramStart"/>
      <w:r>
        <w:rPr>
          <w:rFonts w:ascii="宋体" w:hAnsi="宋体" w:hint="eastAsia"/>
          <w:bCs/>
          <w:sz w:val="24"/>
          <w:szCs w:val="24"/>
        </w:rPr>
        <w:t>非交易</w:t>
      </w:r>
      <w:proofErr w:type="gramEnd"/>
      <w:r>
        <w:rPr>
          <w:rFonts w:ascii="宋体" w:hAnsi="宋体" w:hint="eastAsia"/>
          <w:bCs/>
          <w:sz w:val="24"/>
          <w:szCs w:val="24"/>
        </w:rPr>
        <w:t>过户必须提供基金登记机构要求提供的相关资料，对于符合条件的</w:t>
      </w:r>
      <w:proofErr w:type="gramStart"/>
      <w:r>
        <w:rPr>
          <w:rFonts w:ascii="宋体" w:hAnsi="宋体" w:hint="eastAsia"/>
          <w:bCs/>
          <w:sz w:val="24"/>
          <w:szCs w:val="24"/>
        </w:rPr>
        <w:t>非交易过</w:t>
      </w:r>
      <w:r>
        <w:rPr>
          <w:rFonts w:ascii="宋体" w:hAnsi="宋体" w:hint="eastAsia"/>
          <w:bCs/>
          <w:sz w:val="24"/>
          <w:szCs w:val="24"/>
        </w:rPr>
        <w:lastRenderedPageBreak/>
        <w:t>户申请按</w:t>
      </w:r>
      <w:proofErr w:type="gramEnd"/>
      <w:r>
        <w:rPr>
          <w:rFonts w:ascii="宋体" w:hAnsi="宋体" w:hint="eastAsia"/>
          <w:bCs/>
          <w:sz w:val="24"/>
          <w:szCs w:val="24"/>
        </w:rPr>
        <w:t>基金登记机构的规定办理，并按基金登记机构规定的标准收费。</w:t>
      </w:r>
    </w:p>
    <w:p w14:paraId="4CB27FF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十</w:t>
      </w:r>
      <w:r>
        <w:rPr>
          <w:rFonts w:ascii="宋体" w:hAnsi="宋体" w:hint="eastAsia"/>
          <w:bCs/>
          <w:sz w:val="24"/>
          <w:szCs w:val="24"/>
        </w:rPr>
        <w:t>四、</w:t>
      </w:r>
      <w:r>
        <w:rPr>
          <w:rFonts w:ascii="宋体" w:hAnsi="宋体"/>
          <w:bCs/>
          <w:sz w:val="24"/>
          <w:szCs w:val="24"/>
        </w:rPr>
        <w:t>基金的转托管</w:t>
      </w:r>
    </w:p>
    <w:p w14:paraId="76E42A4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基金份额持有人可办理已持有基金份额在不同销售机构之间的转托管，销售机构可以按照规定的标准收取转托管费。</w:t>
      </w:r>
    </w:p>
    <w:p w14:paraId="2A37CAA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十五、</w:t>
      </w:r>
      <w:r>
        <w:rPr>
          <w:rFonts w:ascii="宋体" w:hAnsi="宋体"/>
          <w:bCs/>
          <w:sz w:val="24"/>
          <w:szCs w:val="24"/>
        </w:rPr>
        <w:t>定期定额投资计划</w:t>
      </w:r>
    </w:p>
    <w:p w14:paraId="39672EA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4676AF4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十六、基金份额的冻结和解冻</w:t>
      </w:r>
    </w:p>
    <w:p w14:paraId="522E8650" w14:textId="77777777" w:rsidR="00166BB1" w:rsidRDefault="00166BB1">
      <w:pPr>
        <w:adjustRightInd w:val="0"/>
        <w:snapToGrid w:val="0"/>
        <w:spacing w:line="360" w:lineRule="auto"/>
        <w:ind w:firstLineChars="200" w:firstLine="480"/>
        <w:rPr>
          <w:rFonts w:ascii="宋体" w:hAnsi="宋体"/>
          <w:bCs/>
          <w:sz w:val="24"/>
          <w:szCs w:val="24"/>
        </w:rPr>
      </w:pPr>
      <w:r>
        <w:rPr>
          <w:rFonts w:ascii="黑体" w:hAnsi="黑体" w:hint="eastAsia"/>
          <w:bCs/>
          <w:sz w:val="24"/>
          <w:szCs w:val="24"/>
        </w:rPr>
        <w:t>基金登记机构只受理国家有权机关依法要求的基金份额的冻结与解冻，以及登记机构认可、符合法律法规的其他情况下的冻结与解冻。基金份额被冻结的，被冻结部分产生的权益按照我国法律法规、监管规章以及国家有权机关的要求来决定是否冻结。如无法律法规明确规定或国家有权机关的明确指示，被冻结的基金份额产生的权益（权益为现金红利部分，自动转为相应类别的基金份额）先行一并冻结。被冻结基金份额仍然参与收益分配。法律法规另有规定的除外</w:t>
      </w:r>
      <w:r>
        <w:rPr>
          <w:rFonts w:ascii="宋体" w:hAnsi="宋体" w:hint="eastAsia"/>
          <w:bCs/>
          <w:sz w:val="24"/>
          <w:szCs w:val="24"/>
        </w:rPr>
        <w:t>。</w:t>
      </w:r>
    </w:p>
    <w:p w14:paraId="5DE3974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十七、</w:t>
      </w:r>
      <w:r>
        <w:rPr>
          <w:rFonts w:ascii="宋体" w:hAnsi="宋体"/>
          <w:bCs/>
          <w:sz w:val="24"/>
          <w:szCs w:val="24"/>
        </w:rPr>
        <w:t>基金份额折算</w:t>
      </w:r>
    </w:p>
    <w:p w14:paraId="7F2EA3E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在对</w:t>
      </w:r>
      <w:r>
        <w:rPr>
          <w:rFonts w:ascii="宋体" w:hAnsi="宋体"/>
          <w:bCs/>
          <w:sz w:val="24"/>
          <w:szCs w:val="24"/>
        </w:rPr>
        <w:t>基金份额持有人利益无实质性不利影响的前提下，基金管理人经与基金托管人协商一致</w:t>
      </w:r>
      <w:r>
        <w:rPr>
          <w:rFonts w:ascii="宋体" w:hAnsi="宋体" w:hint="eastAsia"/>
          <w:bCs/>
          <w:sz w:val="24"/>
          <w:szCs w:val="24"/>
        </w:rPr>
        <w:t>，</w:t>
      </w:r>
      <w:r>
        <w:rPr>
          <w:rFonts w:ascii="宋体" w:hAnsi="宋体"/>
          <w:bCs/>
          <w:sz w:val="24"/>
          <w:szCs w:val="24"/>
        </w:rPr>
        <w:t>可对基金份额进行折算，不需召开基金份额持有人大会审议。</w:t>
      </w:r>
    </w:p>
    <w:p w14:paraId="3B52C87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十八、实施</w:t>
      </w:r>
      <w:proofErr w:type="gramStart"/>
      <w:r>
        <w:rPr>
          <w:rFonts w:ascii="宋体" w:hAnsi="宋体" w:hint="eastAsia"/>
          <w:bCs/>
          <w:sz w:val="24"/>
          <w:szCs w:val="24"/>
        </w:rPr>
        <w:t>侧袋机制</w:t>
      </w:r>
      <w:proofErr w:type="gramEnd"/>
      <w:r>
        <w:rPr>
          <w:rFonts w:ascii="宋体" w:hAnsi="宋体" w:hint="eastAsia"/>
          <w:bCs/>
          <w:sz w:val="24"/>
          <w:szCs w:val="24"/>
        </w:rPr>
        <w:t>期间本基金的申购与赎回</w:t>
      </w:r>
    </w:p>
    <w:p w14:paraId="71E10DF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的，本基金的申购和赎回安排详见招募说明书或相关公告。</w:t>
      </w:r>
    </w:p>
    <w:p w14:paraId="61E09D6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十九、在不违反相关法律法规规定和基金合同约定且对基金份额持有人利益无实质</w:t>
      </w:r>
      <w:r>
        <w:rPr>
          <w:rFonts w:ascii="宋体" w:hAnsi="宋体"/>
          <w:bCs/>
          <w:sz w:val="24"/>
          <w:szCs w:val="24"/>
        </w:rPr>
        <w:t>性</w:t>
      </w:r>
      <w:r>
        <w:rPr>
          <w:rFonts w:ascii="宋体" w:hAnsi="宋体" w:hint="eastAsia"/>
          <w:bCs/>
          <w:sz w:val="24"/>
          <w:szCs w:val="24"/>
        </w:rPr>
        <w:t>不利影响的前提下，基金管理人可以与基金托管人协商一致并在履行相关程序后，根据具体情况对上述申购和赎回的安排进行补充和调整</w:t>
      </w:r>
      <w:r>
        <w:rPr>
          <w:rFonts w:ascii="宋体" w:hAnsi="宋体" w:hint="eastAsia"/>
          <w:bCs/>
          <w:sz w:val="24"/>
        </w:rPr>
        <w:t>，</w:t>
      </w:r>
      <w:r>
        <w:rPr>
          <w:rFonts w:hint="eastAsia"/>
          <w:bCs/>
          <w:sz w:val="24"/>
        </w:rPr>
        <w:t>或</w:t>
      </w:r>
      <w:r>
        <w:rPr>
          <w:rFonts w:ascii="宋体" w:hAnsi="宋体" w:hint="eastAsia"/>
          <w:bCs/>
          <w:sz w:val="24"/>
          <w:szCs w:val="24"/>
        </w:rPr>
        <w:t>者办理基金份额质押等相关业务，届时须提前公告。</w:t>
      </w:r>
    </w:p>
    <w:p w14:paraId="01047EE0" w14:textId="77777777" w:rsidR="00166BB1" w:rsidRDefault="00166BB1">
      <w:pPr>
        <w:pStyle w:val="1"/>
        <w:spacing w:before="0" w:after="0"/>
        <w:jc w:val="center"/>
        <w:rPr>
          <w:rFonts w:ascii="Times New Roman"/>
          <w:color w:val="auto"/>
          <w:sz w:val="32"/>
        </w:rPr>
      </w:pPr>
      <w:r>
        <w:rPr>
          <w:rFonts w:ascii="Times New Roman"/>
          <w:b w:val="0"/>
          <w:bCs/>
          <w:color w:val="auto"/>
        </w:rPr>
        <w:br w:type="page"/>
      </w:r>
      <w:bookmarkStart w:id="127" w:name="_Toc31235"/>
      <w:bookmarkStart w:id="128" w:name="_Toc141703887"/>
      <w:bookmarkStart w:id="129" w:name="_Toc98560353"/>
      <w:bookmarkStart w:id="130" w:name="_Toc3601"/>
      <w:bookmarkStart w:id="131" w:name="_Toc31653"/>
      <w:bookmarkStart w:id="132" w:name="_Toc12245"/>
      <w:bookmarkStart w:id="133" w:name="_Toc139991737"/>
      <w:bookmarkStart w:id="134" w:name="_Toc531676874"/>
      <w:bookmarkStart w:id="135" w:name="_Toc123112235"/>
      <w:bookmarkStart w:id="136" w:name="_Toc31644"/>
      <w:bookmarkStart w:id="137" w:name="_Toc15143"/>
      <w:bookmarkStart w:id="138" w:name="_Toc89430562"/>
      <w:bookmarkStart w:id="139" w:name="_Toc26207"/>
      <w:bookmarkStart w:id="140" w:name="_Toc123051453"/>
      <w:bookmarkStart w:id="141" w:name="_Toc14835"/>
      <w:bookmarkStart w:id="142" w:name="_Toc6405"/>
      <w:bookmarkStart w:id="143" w:name="_Toc123102454"/>
      <w:bookmarkStart w:id="144" w:name="_Toc29251"/>
      <w:r>
        <w:rPr>
          <w:rFonts w:ascii="Times New Roman"/>
          <w:color w:val="auto"/>
          <w:sz w:val="32"/>
        </w:rPr>
        <w:lastRenderedPageBreak/>
        <w:t>第</w:t>
      </w:r>
      <w:r>
        <w:rPr>
          <w:rFonts w:ascii="Times New Roman" w:hint="eastAsia"/>
          <w:color w:val="auto"/>
          <w:sz w:val="32"/>
        </w:rPr>
        <w:t>七</w:t>
      </w:r>
      <w:r>
        <w:rPr>
          <w:rFonts w:ascii="Times New Roman"/>
          <w:color w:val="auto"/>
          <w:sz w:val="32"/>
        </w:rPr>
        <w:t>部分</w:t>
      </w:r>
      <w:r>
        <w:rPr>
          <w:rFonts w:ascii="Times New Roman" w:hint="eastAsia"/>
          <w:color w:val="auto"/>
          <w:sz w:val="32"/>
        </w:rPr>
        <w:t xml:space="preserve">  </w:t>
      </w:r>
      <w:r>
        <w:rPr>
          <w:rFonts w:ascii="Times New Roman"/>
          <w:color w:val="auto"/>
          <w:sz w:val="32"/>
        </w:rPr>
        <w:t>基金合同当事人及权利义务</w:t>
      </w:r>
      <w:bookmarkStart w:id="145" w:name="_Hlt55355235"/>
      <w:bookmarkStart w:id="146" w:name="_Toc523711668"/>
      <w:bookmarkStart w:id="147" w:name="_Toc57530239"/>
      <w:bookmarkStart w:id="148" w:name="_Toc79392580"/>
      <w:bookmarkStart w:id="149" w:name="_Toc15118234"/>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14:paraId="2483F8CC" w14:textId="77777777" w:rsidR="00166BB1" w:rsidRDefault="00166BB1">
      <w:pPr>
        <w:spacing w:line="360" w:lineRule="auto"/>
        <w:ind w:firstLineChars="200" w:firstLine="480"/>
        <w:rPr>
          <w:bCs/>
          <w:sz w:val="24"/>
        </w:rPr>
      </w:pPr>
    </w:p>
    <w:p w14:paraId="75EC5E0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一、基金</w:t>
      </w:r>
      <w:bookmarkEnd w:id="146"/>
      <w:r>
        <w:rPr>
          <w:rFonts w:ascii="宋体" w:hAnsi="宋体"/>
          <w:bCs/>
          <w:sz w:val="24"/>
          <w:szCs w:val="24"/>
        </w:rPr>
        <w:t>管理人</w:t>
      </w:r>
      <w:bookmarkEnd w:id="147"/>
      <w:bookmarkEnd w:id="148"/>
      <w:bookmarkEnd w:id="149"/>
    </w:p>
    <w:p w14:paraId="07E05FE5" w14:textId="77777777" w:rsidR="00166BB1" w:rsidRDefault="00166BB1">
      <w:pPr>
        <w:adjustRightInd w:val="0"/>
        <w:snapToGrid w:val="0"/>
        <w:spacing w:line="360" w:lineRule="auto"/>
        <w:ind w:firstLineChars="200" w:firstLine="480"/>
        <w:rPr>
          <w:rFonts w:ascii="宋体" w:hAnsi="宋体"/>
          <w:bCs/>
          <w:sz w:val="24"/>
          <w:szCs w:val="24"/>
        </w:rPr>
      </w:pPr>
      <w:bookmarkStart w:id="150" w:name="_Toc15118235"/>
      <w:r>
        <w:rPr>
          <w:rFonts w:ascii="宋体" w:hAnsi="宋体"/>
          <w:bCs/>
          <w:sz w:val="24"/>
          <w:szCs w:val="24"/>
        </w:rPr>
        <w:t>（一）基金管理人简况</w:t>
      </w:r>
      <w:bookmarkEnd w:id="150"/>
    </w:p>
    <w:p w14:paraId="45CB7D2D" w14:textId="77777777" w:rsidR="00166BB1" w:rsidRDefault="00166BB1">
      <w:pPr>
        <w:adjustRightInd w:val="0"/>
        <w:snapToGrid w:val="0"/>
        <w:spacing w:line="360" w:lineRule="auto"/>
        <w:ind w:firstLineChars="200" w:firstLine="480"/>
        <w:rPr>
          <w:rFonts w:ascii="宋体" w:hAnsi="宋体"/>
          <w:bCs/>
          <w:sz w:val="24"/>
          <w:szCs w:val="24"/>
        </w:rPr>
      </w:pPr>
      <w:bookmarkStart w:id="151" w:name="_Toc15118236"/>
      <w:bookmarkStart w:id="152" w:name="_Toc15118237"/>
      <w:r>
        <w:rPr>
          <w:rFonts w:ascii="宋体" w:hAnsi="宋体" w:hint="eastAsia"/>
          <w:bCs/>
          <w:sz w:val="24"/>
          <w:szCs w:val="24"/>
        </w:rPr>
        <w:t>名称：银华基金管理股份有限公司</w:t>
      </w:r>
    </w:p>
    <w:p w14:paraId="2A8E0EE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住所：深圳市福田区深南大道6008号特区报业大厦19层</w:t>
      </w:r>
    </w:p>
    <w:p w14:paraId="26DE687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办公地址：北京市东城区东长安街1号东方</w:t>
      </w:r>
      <w:proofErr w:type="gramStart"/>
      <w:r>
        <w:rPr>
          <w:rFonts w:ascii="宋体" w:hAnsi="宋体" w:hint="eastAsia"/>
          <w:bCs/>
          <w:sz w:val="24"/>
          <w:szCs w:val="24"/>
        </w:rPr>
        <w:t>广场东方</w:t>
      </w:r>
      <w:proofErr w:type="gramEnd"/>
      <w:r>
        <w:rPr>
          <w:rFonts w:ascii="宋体" w:hAnsi="宋体" w:hint="eastAsia"/>
          <w:bCs/>
          <w:sz w:val="24"/>
          <w:szCs w:val="24"/>
        </w:rPr>
        <w:t>经贸城C2办公楼15层</w:t>
      </w:r>
    </w:p>
    <w:p w14:paraId="3D599D8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法定代表人：王珠林</w:t>
      </w:r>
    </w:p>
    <w:p w14:paraId="31FE16A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设立日期：2001年5月28日</w:t>
      </w:r>
    </w:p>
    <w:p w14:paraId="7BB78B6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批准设立机关及批准设立文号：中国证监会证</w:t>
      </w:r>
      <w:proofErr w:type="gramStart"/>
      <w:r>
        <w:rPr>
          <w:rFonts w:ascii="宋体" w:hAnsi="宋体" w:hint="eastAsia"/>
          <w:bCs/>
          <w:sz w:val="24"/>
          <w:szCs w:val="24"/>
        </w:rPr>
        <w:t>监基金字</w:t>
      </w:r>
      <w:proofErr w:type="gramEnd"/>
      <w:r>
        <w:rPr>
          <w:rFonts w:ascii="宋体" w:hAnsi="宋体" w:hint="eastAsia"/>
          <w:bCs/>
          <w:sz w:val="24"/>
          <w:szCs w:val="24"/>
        </w:rPr>
        <w:t>［2001］7号</w:t>
      </w:r>
    </w:p>
    <w:p w14:paraId="4B6C225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组织形式：股份有限公司</w:t>
      </w:r>
    </w:p>
    <w:p w14:paraId="0E6D824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注册资本：贰亿贰仟贰佰贰拾万元人民币</w:t>
      </w:r>
    </w:p>
    <w:p w14:paraId="1A2B932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存续期限：持续经营</w:t>
      </w:r>
    </w:p>
    <w:p w14:paraId="14B8B28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联系电话：010-58163000</w:t>
      </w:r>
    </w:p>
    <w:bookmarkEnd w:id="151"/>
    <w:p w14:paraId="0CA4E45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（二）基金管理人的权利与义务</w:t>
      </w:r>
      <w:bookmarkEnd w:id="152"/>
    </w:p>
    <w:p w14:paraId="2CD7CF0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1、根据《基金法》、《运作办法》及其他有关规定，基金管理人的权利包括但不限于：</w:t>
      </w:r>
    </w:p>
    <w:p w14:paraId="6E2DB34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（1）依法募集</w:t>
      </w:r>
      <w:r>
        <w:rPr>
          <w:rFonts w:ascii="宋体" w:hAnsi="宋体" w:hint="eastAsia"/>
          <w:bCs/>
          <w:sz w:val="24"/>
          <w:szCs w:val="24"/>
        </w:rPr>
        <w:t>资</w:t>
      </w:r>
      <w:r>
        <w:rPr>
          <w:rFonts w:ascii="宋体" w:hAnsi="宋体"/>
          <w:bCs/>
          <w:sz w:val="24"/>
          <w:szCs w:val="24"/>
        </w:rPr>
        <w:t>金；</w:t>
      </w:r>
    </w:p>
    <w:p w14:paraId="6A42A68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（2）自基金合同生效之日起，根据法律法规和基金合同独立运用并管理基金财产；</w:t>
      </w:r>
    </w:p>
    <w:p w14:paraId="19FC0BE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（3）依照基金合同收取基金管理费以及法律法规规定或中国证监会批准的其他费用；</w:t>
      </w:r>
    </w:p>
    <w:p w14:paraId="7562260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（4）销售基金份额；</w:t>
      </w:r>
    </w:p>
    <w:p w14:paraId="515933A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bookmarkStart w:id="153" w:name="_Hlt88896155"/>
      <w:r>
        <w:rPr>
          <w:rFonts w:ascii="宋体" w:hAnsi="宋体" w:hint="eastAsia"/>
          <w:bCs/>
          <w:sz w:val="24"/>
          <w:szCs w:val="24"/>
        </w:rPr>
        <w:t>按照规定</w:t>
      </w:r>
      <w:r>
        <w:rPr>
          <w:rFonts w:ascii="宋体" w:hAnsi="宋体"/>
          <w:bCs/>
          <w:sz w:val="24"/>
          <w:szCs w:val="24"/>
        </w:rPr>
        <w:t>召集</w:t>
      </w:r>
      <w:bookmarkEnd w:id="153"/>
      <w:r>
        <w:rPr>
          <w:rFonts w:ascii="宋体" w:hAnsi="宋体"/>
          <w:bCs/>
          <w:sz w:val="24"/>
          <w:szCs w:val="24"/>
        </w:rPr>
        <w:t>基金份额持有人大会；</w:t>
      </w:r>
    </w:p>
    <w:p w14:paraId="661F838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（6）依据基金合同及有关法律规定监督基金托管人，如认为基金托管人违反了基金合同及国家有关法律规定，应呈报中国证监会和其他监管部门，并采取必要措施保护基金投资</w:t>
      </w:r>
      <w:r>
        <w:rPr>
          <w:rFonts w:ascii="宋体" w:hAnsi="宋体" w:hint="eastAsia"/>
          <w:bCs/>
          <w:sz w:val="24"/>
          <w:szCs w:val="24"/>
        </w:rPr>
        <w:t>人</w:t>
      </w:r>
      <w:r>
        <w:rPr>
          <w:rFonts w:ascii="宋体" w:hAnsi="宋体"/>
          <w:bCs/>
          <w:sz w:val="24"/>
          <w:szCs w:val="24"/>
        </w:rPr>
        <w:t>的利益；</w:t>
      </w:r>
    </w:p>
    <w:p w14:paraId="6205C78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（7）在基金托管人更换时，提名新的基金托管人；</w:t>
      </w:r>
    </w:p>
    <w:p w14:paraId="12C47F0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（8）选择、更换销售机构，对销售机构的相关行为进行监督和处理；</w:t>
      </w:r>
    </w:p>
    <w:p w14:paraId="174AFCF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（9）担任或委托其他符合条件的机构担任基金登记机构办理基金登记业务并获得基金合同规定的费用；</w:t>
      </w:r>
    </w:p>
    <w:p w14:paraId="32D7C1D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（10）依据基金合同及有关法律规定决定基金收益的分配方案；</w:t>
      </w:r>
    </w:p>
    <w:p w14:paraId="1A33FF5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（11）在基金合同约定的范围内，拒绝或暂停受理申购</w:t>
      </w:r>
      <w:r>
        <w:rPr>
          <w:rFonts w:ascii="宋体" w:hAnsi="宋体" w:hint="eastAsia"/>
          <w:bCs/>
          <w:sz w:val="24"/>
          <w:szCs w:val="24"/>
        </w:rPr>
        <w:t>、</w:t>
      </w:r>
      <w:r>
        <w:rPr>
          <w:rFonts w:ascii="宋体" w:hAnsi="宋体"/>
          <w:bCs/>
          <w:sz w:val="24"/>
          <w:szCs w:val="24"/>
        </w:rPr>
        <w:t>赎回</w:t>
      </w:r>
      <w:r>
        <w:rPr>
          <w:rFonts w:ascii="宋体" w:hAnsi="宋体" w:hint="eastAsia"/>
          <w:bCs/>
          <w:sz w:val="24"/>
          <w:szCs w:val="24"/>
        </w:rPr>
        <w:t>和</w:t>
      </w:r>
      <w:r>
        <w:rPr>
          <w:rFonts w:ascii="宋体" w:hAnsi="宋体"/>
          <w:bCs/>
          <w:sz w:val="24"/>
          <w:szCs w:val="24"/>
        </w:rPr>
        <w:t>转换申请；</w:t>
      </w:r>
    </w:p>
    <w:p w14:paraId="57D87DB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（12）依照法律法规为基金的利益对被投资公司行使股东权利，为基金的利益行使因基金财产投资于证券</w:t>
      </w:r>
      <w:r>
        <w:rPr>
          <w:rFonts w:ascii="宋体" w:hAnsi="宋体" w:hint="eastAsia"/>
          <w:bCs/>
          <w:sz w:val="24"/>
          <w:szCs w:val="24"/>
        </w:rPr>
        <w:t>/期货</w:t>
      </w:r>
      <w:r>
        <w:rPr>
          <w:rFonts w:ascii="宋体" w:hAnsi="宋体"/>
          <w:bCs/>
          <w:sz w:val="24"/>
          <w:szCs w:val="24"/>
        </w:rPr>
        <w:t>所产生的权利；</w:t>
      </w:r>
    </w:p>
    <w:p w14:paraId="275B6A5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（13）在法律法规允许的前提下，为基金的利益依法为基金进行融资</w:t>
      </w:r>
      <w:r>
        <w:rPr>
          <w:rFonts w:ascii="宋体" w:hAnsi="宋体" w:hint="eastAsia"/>
          <w:bCs/>
          <w:sz w:val="24"/>
          <w:szCs w:val="24"/>
        </w:rPr>
        <w:t>及转融通证券出借业务</w:t>
      </w:r>
      <w:r>
        <w:rPr>
          <w:rFonts w:ascii="宋体" w:hAnsi="宋体"/>
          <w:bCs/>
          <w:sz w:val="24"/>
          <w:szCs w:val="24"/>
        </w:rPr>
        <w:t>；</w:t>
      </w:r>
    </w:p>
    <w:p w14:paraId="790A459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（14）以基金管理人的名义，代表基金份额持有人的利益行使诉讼权利或者实施其他法律行为；</w:t>
      </w:r>
    </w:p>
    <w:p w14:paraId="1A1BC8F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（15）选择、更换律师事务所、会计师事务所、证券</w:t>
      </w:r>
      <w:r>
        <w:rPr>
          <w:rFonts w:ascii="宋体" w:hAnsi="宋体" w:hint="eastAsia"/>
          <w:bCs/>
          <w:sz w:val="24"/>
          <w:szCs w:val="24"/>
        </w:rPr>
        <w:t>/</w:t>
      </w:r>
      <w:r>
        <w:rPr>
          <w:rFonts w:ascii="宋体" w:hAnsi="宋体"/>
          <w:bCs/>
          <w:sz w:val="24"/>
          <w:szCs w:val="24"/>
        </w:rPr>
        <w:t>期货经纪商或其他为基金提供服务的外部机构；</w:t>
      </w:r>
      <w:r>
        <w:rPr>
          <w:rFonts w:hint="eastAsia"/>
          <w:bCs/>
          <w:sz w:val="24"/>
          <w:szCs w:val="24"/>
        </w:rPr>
        <w:t>基金管理人有权选择代表本基金进行场内交易、作为结算参与人代理本基金进行结算的证券经纪机构，并签订证券经纪服务协议；</w:t>
      </w:r>
    </w:p>
    <w:p w14:paraId="36F92D7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（16）在符合有关法律、法规的前提下，制订和调整有关基金认购、申购、赎回、转换</w:t>
      </w:r>
      <w:r>
        <w:rPr>
          <w:rFonts w:ascii="宋体" w:hAnsi="宋体" w:hint="eastAsia"/>
          <w:bCs/>
          <w:sz w:val="24"/>
          <w:szCs w:val="24"/>
        </w:rPr>
        <w:t>、</w:t>
      </w:r>
      <w:proofErr w:type="gramStart"/>
      <w:r>
        <w:rPr>
          <w:rFonts w:ascii="宋体" w:hAnsi="宋体" w:hint="eastAsia"/>
          <w:bCs/>
          <w:sz w:val="24"/>
          <w:szCs w:val="24"/>
        </w:rPr>
        <w:t>非</w:t>
      </w:r>
      <w:r>
        <w:rPr>
          <w:rFonts w:ascii="宋体" w:hAnsi="宋体"/>
          <w:bCs/>
          <w:sz w:val="24"/>
          <w:szCs w:val="24"/>
        </w:rPr>
        <w:t>交易</w:t>
      </w:r>
      <w:proofErr w:type="gramEnd"/>
      <w:r>
        <w:rPr>
          <w:rFonts w:ascii="宋体" w:hAnsi="宋体"/>
          <w:bCs/>
          <w:sz w:val="24"/>
          <w:szCs w:val="24"/>
        </w:rPr>
        <w:t>过户、</w:t>
      </w:r>
      <w:r>
        <w:rPr>
          <w:rFonts w:ascii="宋体" w:hAnsi="宋体" w:hint="eastAsia"/>
          <w:sz w:val="24"/>
          <w:szCs w:val="24"/>
        </w:rPr>
        <w:t>转托管及定期定额投资</w:t>
      </w:r>
      <w:r>
        <w:rPr>
          <w:rFonts w:ascii="宋体" w:hAnsi="宋体" w:hint="eastAsia"/>
          <w:bCs/>
          <w:sz w:val="24"/>
          <w:szCs w:val="24"/>
        </w:rPr>
        <w:t>等</w:t>
      </w:r>
      <w:r>
        <w:rPr>
          <w:rFonts w:ascii="宋体" w:hAnsi="宋体"/>
          <w:bCs/>
          <w:sz w:val="24"/>
          <w:szCs w:val="24"/>
        </w:rPr>
        <w:t>业务规则；</w:t>
      </w:r>
    </w:p>
    <w:p w14:paraId="10519BC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（17）基金管理人有权根据反洗</w:t>
      </w:r>
      <w:proofErr w:type="gramStart"/>
      <w:r>
        <w:rPr>
          <w:rFonts w:ascii="宋体" w:hAnsi="宋体" w:hint="eastAsia"/>
          <w:bCs/>
          <w:sz w:val="24"/>
          <w:szCs w:val="24"/>
        </w:rPr>
        <w:t>钱法律</w:t>
      </w:r>
      <w:proofErr w:type="gramEnd"/>
      <w:r>
        <w:rPr>
          <w:rFonts w:ascii="宋体" w:hAnsi="宋体" w:hint="eastAsia"/>
          <w:bCs/>
          <w:sz w:val="24"/>
          <w:szCs w:val="24"/>
        </w:rPr>
        <w:t>法规的相关规定，结合基金份额持有人洗钱风险状况，采取相应合理的控制措施；</w:t>
      </w:r>
    </w:p>
    <w:p w14:paraId="25D2C71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（18）在法律法规和基金合同规定的范围内决定调整基金费率结构和收费方式；</w:t>
      </w:r>
    </w:p>
    <w:p w14:paraId="222C790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（19）代表基金份额持有人的利益行使因基金财产投资于目标ETF所产生的权利，基金合同另有约定的除外；</w:t>
      </w:r>
    </w:p>
    <w:p w14:paraId="1F2ABEF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20</w:t>
      </w:r>
      <w:r>
        <w:rPr>
          <w:rFonts w:ascii="宋体" w:hAnsi="宋体"/>
          <w:bCs/>
          <w:sz w:val="24"/>
          <w:szCs w:val="24"/>
        </w:rPr>
        <w:t>）法律法规及中国证监会规定的和基金合同约定的其他权利。</w:t>
      </w:r>
    </w:p>
    <w:p w14:paraId="45EC7B3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2、根据《基金法》、《运作办法》及其他有关规定，基金管理人的义务包括但不限于：</w:t>
      </w:r>
    </w:p>
    <w:p w14:paraId="1C3EFDDD" w14:textId="77777777" w:rsidR="00166BB1" w:rsidRDefault="00166BB1">
      <w:pPr>
        <w:adjustRightInd w:val="0"/>
        <w:snapToGrid w:val="0"/>
        <w:spacing w:line="360" w:lineRule="auto"/>
        <w:ind w:firstLineChars="200" w:firstLine="480"/>
        <w:rPr>
          <w:rFonts w:ascii="宋体" w:hAnsi="宋体"/>
          <w:bCs/>
          <w:sz w:val="24"/>
          <w:szCs w:val="24"/>
        </w:rPr>
      </w:pPr>
      <w:bookmarkStart w:id="154" w:name="_Toc523711669"/>
      <w:r>
        <w:rPr>
          <w:rFonts w:ascii="宋体" w:hAnsi="宋体"/>
          <w:bCs/>
          <w:sz w:val="24"/>
          <w:szCs w:val="24"/>
        </w:rPr>
        <w:t>（1）依法募集</w:t>
      </w:r>
      <w:r>
        <w:rPr>
          <w:rFonts w:ascii="宋体" w:hAnsi="宋体" w:hint="eastAsia"/>
          <w:bCs/>
          <w:sz w:val="24"/>
          <w:szCs w:val="24"/>
        </w:rPr>
        <w:t>资</w:t>
      </w:r>
      <w:r>
        <w:rPr>
          <w:rFonts w:ascii="宋体" w:hAnsi="宋体"/>
          <w:bCs/>
          <w:sz w:val="24"/>
          <w:szCs w:val="24"/>
        </w:rPr>
        <w:t>金，办理或者委托经中国证监会认定的其他机构代为办理基金份额的发售、申购、赎回和登记事宜；</w:t>
      </w:r>
    </w:p>
    <w:p w14:paraId="379DD2D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（2）办理基金备案手续；</w:t>
      </w:r>
    </w:p>
    <w:p w14:paraId="3CAD530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（3）自基金合同生效之日起</w:t>
      </w:r>
      <w:r>
        <w:rPr>
          <w:rFonts w:ascii="宋体" w:hAnsi="宋体" w:hint="eastAsia"/>
          <w:bCs/>
          <w:sz w:val="24"/>
          <w:szCs w:val="24"/>
        </w:rPr>
        <w:t>，</w:t>
      </w:r>
      <w:r>
        <w:rPr>
          <w:rFonts w:ascii="宋体" w:hAnsi="宋体"/>
          <w:bCs/>
          <w:sz w:val="24"/>
          <w:szCs w:val="24"/>
        </w:rPr>
        <w:t>以诚实信用、谨慎勤勉的原则管理和运用基金财产；</w:t>
      </w:r>
    </w:p>
    <w:p w14:paraId="6055EDE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（4）配备足够的具有专业资格的人员进行基金投资分析、决策，以专业化</w:t>
      </w:r>
      <w:r>
        <w:rPr>
          <w:rFonts w:ascii="宋体" w:hAnsi="宋体"/>
          <w:bCs/>
          <w:sz w:val="24"/>
          <w:szCs w:val="24"/>
        </w:rPr>
        <w:lastRenderedPageBreak/>
        <w:t>的经营方式管理和运作基金财产；</w:t>
      </w:r>
    </w:p>
    <w:p w14:paraId="5B93CA7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（5）建立健全内部风险控制、监察与稽核、财务管理及人事管理等制度，保证所管理的基金财产和基金管理人的财产相互独立</w:t>
      </w:r>
      <w:r>
        <w:rPr>
          <w:rFonts w:ascii="宋体" w:hAnsi="宋体" w:hint="eastAsia"/>
          <w:bCs/>
          <w:sz w:val="24"/>
          <w:szCs w:val="24"/>
        </w:rPr>
        <w:t>，</w:t>
      </w:r>
      <w:r>
        <w:rPr>
          <w:rFonts w:ascii="宋体" w:hAnsi="宋体"/>
          <w:bCs/>
          <w:sz w:val="24"/>
          <w:szCs w:val="24"/>
        </w:rPr>
        <w:t>对所管理的不同基金分别管理，分别记账，进行证券</w:t>
      </w:r>
      <w:r>
        <w:rPr>
          <w:rFonts w:ascii="宋体" w:hAnsi="宋体" w:hint="eastAsia"/>
          <w:bCs/>
          <w:sz w:val="24"/>
          <w:szCs w:val="24"/>
        </w:rPr>
        <w:t>/期货</w:t>
      </w:r>
      <w:r>
        <w:rPr>
          <w:rFonts w:ascii="宋体" w:hAnsi="宋体"/>
          <w:bCs/>
          <w:sz w:val="24"/>
          <w:szCs w:val="24"/>
        </w:rPr>
        <w:t>投资；</w:t>
      </w:r>
    </w:p>
    <w:p w14:paraId="4FCC4A5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（6）除依据《基金法》、基金合同及其他有关规定外</w:t>
      </w:r>
      <w:r>
        <w:rPr>
          <w:rFonts w:ascii="宋体" w:hAnsi="宋体" w:hint="eastAsia"/>
          <w:bCs/>
          <w:sz w:val="24"/>
          <w:szCs w:val="24"/>
        </w:rPr>
        <w:t>，</w:t>
      </w:r>
      <w:r>
        <w:rPr>
          <w:rFonts w:ascii="宋体" w:hAnsi="宋体"/>
          <w:bCs/>
          <w:sz w:val="24"/>
          <w:szCs w:val="24"/>
        </w:rPr>
        <w:t>不得利用基金财产为自己及任何第三人谋取利益，不得委托第三人运作基金财产；</w:t>
      </w:r>
      <w:bookmarkStart w:id="155" w:name="_Hlt88897298"/>
      <w:bookmarkEnd w:id="155"/>
    </w:p>
    <w:p w14:paraId="6B4CF47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（7）依法接受基金托管人的监督；</w:t>
      </w:r>
    </w:p>
    <w:p w14:paraId="024CA6E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（8）采取适当合理的措施使计算基金份额认购、申购、赎回价格的方法符合《基金合同》等法律文件的规定</w:t>
      </w:r>
      <w:r>
        <w:rPr>
          <w:rFonts w:ascii="宋体" w:hAnsi="宋体" w:hint="eastAsia"/>
          <w:bCs/>
          <w:sz w:val="24"/>
          <w:szCs w:val="24"/>
        </w:rPr>
        <w:t>，</w:t>
      </w:r>
      <w:r>
        <w:rPr>
          <w:rFonts w:ascii="宋体" w:hAnsi="宋体"/>
          <w:bCs/>
          <w:sz w:val="24"/>
          <w:szCs w:val="24"/>
        </w:rPr>
        <w:t>按有关规定计算并公告</w:t>
      </w:r>
      <w:r>
        <w:rPr>
          <w:rFonts w:ascii="宋体" w:hAnsi="宋体" w:hint="eastAsia"/>
          <w:bCs/>
          <w:sz w:val="24"/>
          <w:szCs w:val="24"/>
        </w:rPr>
        <w:t>基金净值信息，</w:t>
      </w:r>
      <w:r>
        <w:rPr>
          <w:rFonts w:ascii="宋体" w:hAnsi="宋体"/>
          <w:bCs/>
          <w:sz w:val="24"/>
          <w:szCs w:val="24"/>
        </w:rPr>
        <w:t>确定各类基金份额申购、赎回的价格；</w:t>
      </w:r>
    </w:p>
    <w:p w14:paraId="51AA80D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（9）进行基金会计核算并编制基金财务会计报告；</w:t>
      </w:r>
    </w:p>
    <w:p w14:paraId="151EA5E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（10）编制季度</w:t>
      </w:r>
      <w:r>
        <w:rPr>
          <w:rFonts w:ascii="宋体" w:hAnsi="宋体" w:hint="eastAsia"/>
          <w:bCs/>
          <w:sz w:val="24"/>
          <w:szCs w:val="24"/>
        </w:rPr>
        <w:t>报告、中期报告和年度报告</w:t>
      </w:r>
      <w:r>
        <w:rPr>
          <w:rFonts w:ascii="宋体" w:hAnsi="宋体"/>
          <w:bCs/>
          <w:sz w:val="24"/>
          <w:szCs w:val="24"/>
        </w:rPr>
        <w:t>；</w:t>
      </w:r>
    </w:p>
    <w:p w14:paraId="53CF9D4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（11）严格按照《基金法》、基金合同及其他有关规定，履行信息披露及报告义务；</w:t>
      </w:r>
    </w:p>
    <w:p w14:paraId="5ED1B17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（12）保守基金商业秘密，不泄露基金投资计划、投资意向等。除《基金法》、基金合同及其他有关</w:t>
      </w:r>
      <w:r>
        <w:rPr>
          <w:rFonts w:ascii="宋体" w:hAnsi="宋体" w:hint="eastAsia"/>
          <w:bCs/>
          <w:sz w:val="24"/>
          <w:szCs w:val="24"/>
        </w:rPr>
        <w:t>法律法规或监管机构</w:t>
      </w:r>
      <w:r>
        <w:rPr>
          <w:rFonts w:ascii="宋体" w:hAnsi="宋体"/>
          <w:bCs/>
          <w:sz w:val="24"/>
          <w:szCs w:val="24"/>
        </w:rPr>
        <w:t>另有规定</w:t>
      </w:r>
      <w:r>
        <w:rPr>
          <w:rFonts w:ascii="宋体" w:hAnsi="宋体" w:hint="eastAsia"/>
          <w:bCs/>
          <w:sz w:val="24"/>
          <w:szCs w:val="24"/>
        </w:rPr>
        <w:t>或要求</w:t>
      </w:r>
      <w:r>
        <w:rPr>
          <w:rFonts w:ascii="宋体" w:hAnsi="宋体"/>
          <w:bCs/>
          <w:sz w:val="24"/>
          <w:szCs w:val="24"/>
        </w:rPr>
        <w:t>外，在基金信息公开披露前应予保密，不向他人泄露</w:t>
      </w:r>
      <w:r>
        <w:rPr>
          <w:rFonts w:ascii="宋体" w:hAnsi="宋体" w:hint="eastAsia"/>
          <w:bCs/>
          <w:sz w:val="24"/>
          <w:szCs w:val="24"/>
        </w:rPr>
        <w:t>，但向监管机构、司法机关提供或因审计、法律等外部专业顾问提供服务而向其提供的情况除外</w:t>
      </w:r>
      <w:r>
        <w:rPr>
          <w:rFonts w:ascii="宋体" w:hAnsi="宋体"/>
          <w:bCs/>
          <w:sz w:val="24"/>
          <w:szCs w:val="24"/>
        </w:rPr>
        <w:t>；</w:t>
      </w:r>
    </w:p>
    <w:p w14:paraId="2D92FC8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（13）按基金合同的约定确定基金收益分配方案，及时向基金份额持有人分配基金收益；</w:t>
      </w:r>
    </w:p>
    <w:p w14:paraId="7AEF758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（14）按规定受理申购与赎回申请，及时、足额支付赎回款项；</w:t>
      </w:r>
    </w:p>
    <w:p w14:paraId="4F7CA0B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（15）依据《基金法》、基金合同及其他有关规定召集基金份额持有人大会或配合基金托管人、基金份额持有人依法召集基金份额持有人大会；</w:t>
      </w:r>
    </w:p>
    <w:p w14:paraId="7B2F9E0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（16）按规定保存基金财产管理业务活动的会计账册、报表、记录和其他相关资料</w:t>
      </w:r>
      <w:r>
        <w:rPr>
          <w:rFonts w:ascii="宋体" w:hAnsi="宋体" w:hint="eastAsia"/>
          <w:bCs/>
          <w:sz w:val="24"/>
          <w:szCs w:val="24"/>
        </w:rPr>
        <w:t>，保存期限不低于法律法规规定的最低期限</w:t>
      </w:r>
      <w:r>
        <w:rPr>
          <w:rFonts w:ascii="宋体" w:hAnsi="宋体"/>
          <w:bCs/>
          <w:sz w:val="24"/>
          <w:szCs w:val="24"/>
        </w:rPr>
        <w:t>；</w:t>
      </w:r>
    </w:p>
    <w:p w14:paraId="6CCE0F7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（17）确保需要向基金投资人提供的各项文件或资料在规定时间发出，并且保证投资</w:t>
      </w:r>
      <w:r>
        <w:rPr>
          <w:rFonts w:ascii="宋体" w:hAnsi="宋体" w:hint="eastAsia"/>
          <w:bCs/>
          <w:sz w:val="24"/>
          <w:szCs w:val="24"/>
        </w:rPr>
        <w:t>人</w:t>
      </w:r>
      <w:r>
        <w:rPr>
          <w:rFonts w:ascii="宋体" w:hAnsi="宋体"/>
          <w:bCs/>
          <w:sz w:val="24"/>
          <w:szCs w:val="24"/>
        </w:rPr>
        <w:t>能够按照基金合同规定的时间和方式，随时查阅到与基金有关的公开资料，并在支付合理成本的条件下得到有关资料的复印件；</w:t>
      </w:r>
    </w:p>
    <w:p w14:paraId="3834269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（18）组织并参加基金财产清算小组</w:t>
      </w:r>
      <w:r>
        <w:rPr>
          <w:rFonts w:ascii="宋体" w:hAnsi="宋体" w:hint="eastAsia"/>
          <w:bCs/>
          <w:sz w:val="24"/>
          <w:szCs w:val="24"/>
        </w:rPr>
        <w:t>，</w:t>
      </w:r>
      <w:r>
        <w:rPr>
          <w:rFonts w:ascii="宋体" w:hAnsi="宋体"/>
          <w:bCs/>
          <w:sz w:val="24"/>
          <w:szCs w:val="24"/>
        </w:rPr>
        <w:t>参与基金财产的保管、清理、估价、变现和分配；</w:t>
      </w:r>
    </w:p>
    <w:p w14:paraId="43B8568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（19）面临解散、依法被撤销或者被依法宣告破产时，及时报告中国证监会并通知基金托管人；</w:t>
      </w:r>
    </w:p>
    <w:p w14:paraId="11DC485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（20）因违反基金合同导致基金财产的损失或损害基金份额持有人合法权益时，应当承担赔偿责任，其赔偿责任不因其退任而免除；</w:t>
      </w:r>
    </w:p>
    <w:p w14:paraId="4ACF2C0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（21）监督基金托管人按法律法规和基金合同规定履行自己的义务，基金托管人违反基金合同造成基金财产损失时，基金管理人应为基金份额持有人利益向基金托管人追偿；</w:t>
      </w:r>
    </w:p>
    <w:p w14:paraId="08D827B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（22）当基金管理人将其义务委托第三方处理时，应当对第三方处理有关基金事务的行为承担责任；</w:t>
      </w:r>
    </w:p>
    <w:p w14:paraId="67793D6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（23）以基金管理人名义，代表基金份额持有人利益行使诉讼权利或实施其他法律行为；</w:t>
      </w:r>
    </w:p>
    <w:p w14:paraId="3136482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（24）基金</w:t>
      </w:r>
      <w:r>
        <w:rPr>
          <w:rFonts w:ascii="宋体" w:hAnsi="宋体" w:hint="eastAsia"/>
          <w:bCs/>
          <w:sz w:val="24"/>
          <w:szCs w:val="24"/>
        </w:rPr>
        <w:t>管理人</w:t>
      </w:r>
      <w:r>
        <w:rPr>
          <w:rFonts w:ascii="宋体" w:hAnsi="宋体"/>
          <w:bCs/>
          <w:sz w:val="24"/>
          <w:szCs w:val="24"/>
        </w:rPr>
        <w:t>在募集期间未能达到基金</w:t>
      </w:r>
      <w:bookmarkStart w:id="156" w:name="_Hlt88823209"/>
      <w:bookmarkEnd w:id="156"/>
      <w:r>
        <w:rPr>
          <w:rFonts w:ascii="宋体" w:hAnsi="宋体"/>
          <w:bCs/>
          <w:sz w:val="24"/>
          <w:szCs w:val="24"/>
        </w:rPr>
        <w:t>的备案条件，基金合同不能生效，基金管理人承担全部募集费用，将已募集资金并加计银行同期</w:t>
      </w:r>
      <w:r>
        <w:rPr>
          <w:rFonts w:ascii="宋体" w:hAnsi="宋体" w:hint="eastAsia"/>
          <w:bCs/>
          <w:sz w:val="24"/>
          <w:szCs w:val="24"/>
        </w:rPr>
        <w:t>活期</w:t>
      </w:r>
      <w:r>
        <w:rPr>
          <w:rFonts w:ascii="宋体" w:hAnsi="宋体"/>
          <w:bCs/>
          <w:sz w:val="24"/>
          <w:szCs w:val="24"/>
        </w:rPr>
        <w:t>存款利息</w:t>
      </w:r>
      <w:r>
        <w:rPr>
          <w:rFonts w:ascii="宋体" w:hAnsi="宋体" w:hint="eastAsia"/>
          <w:bCs/>
          <w:sz w:val="24"/>
          <w:szCs w:val="24"/>
        </w:rPr>
        <w:t>（税后</w:t>
      </w:r>
      <w:r>
        <w:rPr>
          <w:rFonts w:ascii="宋体" w:hAnsi="宋体"/>
          <w:bCs/>
          <w:sz w:val="24"/>
          <w:szCs w:val="24"/>
        </w:rPr>
        <w:t>）在基金募集期结束后</w:t>
      </w:r>
      <w:r>
        <w:rPr>
          <w:rFonts w:ascii="宋体" w:hAnsi="宋体" w:hint="eastAsia"/>
          <w:bCs/>
          <w:sz w:val="24"/>
          <w:szCs w:val="24"/>
        </w:rPr>
        <w:t>30</w:t>
      </w:r>
      <w:r>
        <w:rPr>
          <w:rFonts w:ascii="宋体" w:hAnsi="宋体"/>
          <w:bCs/>
          <w:sz w:val="24"/>
          <w:szCs w:val="24"/>
        </w:rPr>
        <w:t>日内退还基金认购人；</w:t>
      </w:r>
    </w:p>
    <w:p w14:paraId="0A7BCE6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（25）执行生效的基金份额持有人大会的</w:t>
      </w:r>
      <w:r>
        <w:rPr>
          <w:rFonts w:ascii="宋体" w:hAnsi="宋体" w:hint="eastAsia"/>
          <w:bCs/>
          <w:sz w:val="24"/>
          <w:szCs w:val="24"/>
        </w:rPr>
        <w:t>决议</w:t>
      </w:r>
      <w:r>
        <w:rPr>
          <w:rFonts w:ascii="宋体" w:hAnsi="宋体"/>
          <w:bCs/>
          <w:sz w:val="24"/>
          <w:szCs w:val="24"/>
        </w:rPr>
        <w:t>；</w:t>
      </w:r>
    </w:p>
    <w:p w14:paraId="4AAAEA8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（26）建立并保存基金份额持有人名册；</w:t>
      </w:r>
    </w:p>
    <w:p w14:paraId="19F479C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（27）法律法规及中国证监会规定的和《基金合同》约定的其他义务。</w:t>
      </w:r>
    </w:p>
    <w:p w14:paraId="52F10310" w14:textId="77777777" w:rsidR="00166BB1" w:rsidRDefault="00166BB1">
      <w:pPr>
        <w:adjustRightInd w:val="0"/>
        <w:snapToGrid w:val="0"/>
        <w:spacing w:line="360" w:lineRule="auto"/>
        <w:ind w:firstLineChars="200" w:firstLine="480"/>
        <w:rPr>
          <w:rFonts w:ascii="宋体" w:hAnsi="宋体"/>
          <w:bCs/>
          <w:sz w:val="24"/>
          <w:szCs w:val="24"/>
        </w:rPr>
      </w:pPr>
      <w:bookmarkStart w:id="157" w:name="_Toc15118238"/>
      <w:bookmarkStart w:id="158" w:name="_Toc57530240"/>
      <w:bookmarkStart w:id="159" w:name="_Toc79392581"/>
      <w:r>
        <w:rPr>
          <w:rFonts w:ascii="宋体" w:hAnsi="宋体"/>
          <w:bCs/>
          <w:sz w:val="24"/>
          <w:szCs w:val="24"/>
        </w:rPr>
        <w:t>二、基金托管人</w:t>
      </w:r>
      <w:bookmarkEnd w:id="154"/>
      <w:bookmarkEnd w:id="157"/>
      <w:bookmarkEnd w:id="158"/>
      <w:bookmarkEnd w:id="159"/>
    </w:p>
    <w:p w14:paraId="030F5E00" w14:textId="77777777" w:rsidR="00166BB1" w:rsidRDefault="00166BB1">
      <w:pPr>
        <w:adjustRightInd w:val="0"/>
        <w:snapToGrid w:val="0"/>
        <w:spacing w:line="360" w:lineRule="auto"/>
        <w:ind w:firstLineChars="200" w:firstLine="480"/>
        <w:rPr>
          <w:rFonts w:ascii="宋体" w:hAnsi="宋体"/>
          <w:bCs/>
          <w:sz w:val="24"/>
          <w:szCs w:val="24"/>
        </w:rPr>
      </w:pPr>
      <w:bookmarkStart w:id="160" w:name="_Toc15118239"/>
      <w:r>
        <w:rPr>
          <w:rFonts w:ascii="宋体" w:hAnsi="宋体" w:hint="eastAsia"/>
          <w:bCs/>
          <w:sz w:val="24"/>
          <w:szCs w:val="24"/>
        </w:rPr>
        <w:t>（一）基金托管人简况</w:t>
      </w:r>
    </w:p>
    <w:p w14:paraId="7F95C9AA" w14:textId="77777777" w:rsidR="00166BB1" w:rsidRDefault="00166BB1">
      <w:pPr>
        <w:adjustRightInd w:val="0"/>
        <w:snapToGrid w:val="0"/>
        <w:spacing w:line="360" w:lineRule="auto"/>
        <w:ind w:firstLineChars="200" w:firstLine="480"/>
        <w:rPr>
          <w:rFonts w:ascii="宋体" w:hAnsi="宋体" w:cs="Arial"/>
          <w:sz w:val="24"/>
        </w:rPr>
      </w:pPr>
      <w:bookmarkStart w:id="161" w:name="_Toc15118240"/>
      <w:bookmarkEnd w:id="160"/>
      <w:r>
        <w:rPr>
          <w:rFonts w:ascii="宋体" w:hAnsi="宋体" w:cs="Arial" w:hint="eastAsia"/>
          <w:sz w:val="24"/>
        </w:rPr>
        <w:t>名称：中国建设银行股份有限公司</w:t>
      </w:r>
    </w:p>
    <w:p w14:paraId="30666A49" w14:textId="77777777" w:rsidR="00166BB1" w:rsidRDefault="00166BB1">
      <w:pPr>
        <w:adjustRightInd w:val="0"/>
        <w:snapToGrid w:val="0"/>
        <w:spacing w:line="360" w:lineRule="auto"/>
        <w:ind w:firstLineChars="200" w:firstLine="480"/>
        <w:rPr>
          <w:rFonts w:ascii="宋体" w:hAnsi="宋体" w:cs="Arial"/>
          <w:sz w:val="24"/>
        </w:rPr>
      </w:pPr>
      <w:r>
        <w:rPr>
          <w:rFonts w:ascii="宋体" w:hAnsi="宋体" w:cs="Arial" w:hint="eastAsia"/>
          <w:sz w:val="24"/>
        </w:rPr>
        <w:t>住所：北京市西城区金融大街</w:t>
      </w:r>
      <w:r>
        <w:rPr>
          <w:rFonts w:ascii="宋体" w:hAnsi="宋体" w:cs="Arial"/>
          <w:sz w:val="24"/>
        </w:rPr>
        <w:t>25</w:t>
      </w:r>
      <w:r>
        <w:rPr>
          <w:rFonts w:ascii="宋体" w:hAnsi="宋体" w:cs="Arial" w:hint="eastAsia"/>
          <w:sz w:val="24"/>
        </w:rPr>
        <w:t>号</w:t>
      </w:r>
    </w:p>
    <w:p w14:paraId="64082FBC" w14:textId="77777777" w:rsidR="00166BB1" w:rsidRDefault="00166BB1">
      <w:pPr>
        <w:adjustRightInd w:val="0"/>
        <w:snapToGrid w:val="0"/>
        <w:spacing w:line="360" w:lineRule="auto"/>
        <w:ind w:firstLineChars="200" w:firstLine="480"/>
        <w:rPr>
          <w:rFonts w:ascii="宋体" w:hAnsi="宋体" w:cs="Arial"/>
          <w:sz w:val="24"/>
        </w:rPr>
      </w:pPr>
      <w:r>
        <w:rPr>
          <w:rFonts w:ascii="宋体" w:hAnsi="宋体" w:cs="Arial" w:hint="eastAsia"/>
          <w:sz w:val="24"/>
        </w:rPr>
        <w:t>办公地址：北京市西城区闹市口大街</w:t>
      </w:r>
      <w:r>
        <w:rPr>
          <w:rFonts w:ascii="宋体" w:hAnsi="宋体" w:cs="Arial"/>
          <w:sz w:val="24"/>
        </w:rPr>
        <w:t>1</w:t>
      </w:r>
      <w:r>
        <w:rPr>
          <w:rFonts w:ascii="宋体" w:hAnsi="宋体" w:cs="Arial" w:hint="eastAsia"/>
          <w:sz w:val="24"/>
        </w:rPr>
        <w:t>号院</w:t>
      </w:r>
      <w:r>
        <w:rPr>
          <w:rFonts w:ascii="宋体" w:hAnsi="宋体" w:cs="Arial"/>
          <w:sz w:val="24"/>
        </w:rPr>
        <w:t>1</w:t>
      </w:r>
      <w:r>
        <w:rPr>
          <w:rFonts w:ascii="宋体" w:hAnsi="宋体" w:cs="Arial" w:hint="eastAsia"/>
          <w:sz w:val="24"/>
        </w:rPr>
        <w:t>号楼</w:t>
      </w:r>
    </w:p>
    <w:p w14:paraId="291C287F" w14:textId="77777777" w:rsidR="00166BB1" w:rsidRDefault="00166BB1">
      <w:pPr>
        <w:adjustRightInd w:val="0"/>
        <w:snapToGrid w:val="0"/>
        <w:spacing w:line="360" w:lineRule="auto"/>
        <w:ind w:firstLineChars="200" w:firstLine="480"/>
        <w:rPr>
          <w:rFonts w:ascii="宋体" w:hAnsi="宋体" w:cs="Arial"/>
          <w:sz w:val="24"/>
        </w:rPr>
      </w:pPr>
      <w:r>
        <w:rPr>
          <w:rFonts w:ascii="宋体" w:hAnsi="宋体" w:cs="Arial" w:hint="eastAsia"/>
          <w:sz w:val="24"/>
        </w:rPr>
        <w:t>法定代表人：张金良</w:t>
      </w:r>
    </w:p>
    <w:p w14:paraId="384A6AE0" w14:textId="77777777" w:rsidR="00166BB1" w:rsidRDefault="00166BB1">
      <w:pPr>
        <w:adjustRightInd w:val="0"/>
        <w:snapToGrid w:val="0"/>
        <w:spacing w:line="360" w:lineRule="auto"/>
        <w:ind w:firstLineChars="200" w:firstLine="480"/>
        <w:rPr>
          <w:rFonts w:ascii="宋体" w:hAnsi="宋体" w:cs="Arial"/>
          <w:sz w:val="24"/>
        </w:rPr>
      </w:pPr>
      <w:r>
        <w:rPr>
          <w:rFonts w:ascii="宋体" w:hAnsi="宋体" w:cs="Arial" w:hint="eastAsia"/>
          <w:sz w:val="24"/>
        </w:rPr>
        <w:t>成立时间：</w:t>
      </w:r>
      <w:r>
        <w:rPr>
          <w:rFonts w:ascii="宋体" w:hAnsi="宋体" w:cs="Arial"/>
          <w:sz w:val="24"/>
        </w:rPr>
        <w:t>2004</w:t>
      </w:r>
      <w:r>
        <w:rPr>
          <w:rFonts w:ascii="宋体" w:hAnsi="宋体" w:cs="Arial" w:hint="eastAsia"/>
          <w:sz w:val="24"/>
        </w:rPr>
        <w:t>年</w:t>
      </w:r>
      <w:r>
        <w:rPr>
          <w:rFonts w:ascii="宋体" w:hAnsi="宋体" w:cs="Arial"/>
          <w:sz w:val="24"/>
        </w:rPr>
        <w:t>09</w:t>
      </w:r>
      <w:r>
        <w:rPr>
          <w:rFonts w:ascii="宋体" w:hAnsi="宋体" w:cs="Arial" w:hint="eastAsia"/>
          <w:sz w:val="24"/>
        </w:rPr>
        <w:t>月</w:t>
      </w:r>
      <w:r>
        <w:rPr>
          <w:rFonts w:ascii="宋体" w:hAnsi="宋体" w:cs="Arial"/>
          <w:sz w:val="24"/>
        </w:rPr>
        <w:t>17</w:t>
      </w:r>
      <w:r>
        <w:rPr>
          <w:rFonts w:ascii="宋体" w:hAnsi="宋体" w:cs="Arial" w:hint="eastAsia"/>
          <w:sz w:val="24"/>
        </w:rPr>
        <w:t>日</w:t>
      </w:r>
    </w:p>
    <w:p w14:paraId="19F2EBF1" w14:textId="77777777" w:rsidR="00166BB1" w:rsidRDefault="00166BB1">
      <w:pPr>
        <w:adjustRightInd w:val="0"/>
        <w:snapToGrid w:val="0"/>
        <w:spacing w:line="360" w:lineRule="auto"/>
        <w:ind w:firstLineChars="200" w:firstLine="480"/>
        <w:rPr>
          <w:rFonts w:ascii="宋体" w:hAnsi="宋体" w:cs="Arial"/>
          <w:sz w:val="24"/>
        </w:rPr>
      </w:pPr>
      <w:r>
        <w:rPr>
          <w:rFonts w:ascii="宋体" w:hAnsi="宋体" w:cs="Arial" w:hint="eastAsia"/>
          <w:sz w:val="24"/>
        </w:rPr>
        <w:t>组织形式：股份有限公司</w:t>
      </w:r>
    </w:p>
    <w:p w14:paraId="17524ADB" w14:textId="77777777" w:rsidR="00166BB1" w:rsidRDefault="00166BB1">
      <w:pPr>
        <w:adjustRightInd w:val="0"/>
        <w:snapToGrid w:val="0"/>
        <w:spacing w:line="360" w:lineRule="auto"/>
        <w:ind w:firstLineChars="200" w:firstLine="480"/>
        <w:rPr>
          <w:rFonts w:ascii="宋体" w:hAnsi="宋体" w:cs="Arial"/>
          <w:sz w:val="24"/>
        </w:rPr>
      </w:pPr>
      <w:r>
        <w:rPr>
          <w:rFonts w:ascii="宋体" w:hAnsi="宋体" w:cs="Arial" w:hint="eastAsia"/>
          <w:sz w:val="24"/>
        </w:rPr>
        <w:t>注册资本：</w:t>
      </w:r>
      <w:proofErr w:type="gramStart"/>
      <w:r>
        <w:rPr>
          <w:rFonts w:ascii="宋体" w:hAnsi="宋体" w:cs="Arial" w:hint="eastAsia"/>
          <w:sz w:val="24"/>
        </w:rPr>
        <w:t>贰仟伍佰亿壹仟零玖拾柒万柒仟肆佰捌拾陆</w:t>
      </w:r>
      <w:proofErr w:type="gramEnd"/>
      <w:r>
        <w:rPr>
          <w:rFonts w:ascii="宋体" w:hAnsi="宋体" w:cs="Arial" w:hint="eastAsia"/>
          <w:sz w:val="24"/>
        </w:rPr>
        <w:t>元整</w:t>
      </w:r>
    </w:p>
    <w:p w14:paraId="4B0E5FEA" w14:textId="77777777" w:rsidR="00166BB1" w:rsidRDefault="00166BB1">
      <w:pPr>
        <w:adjustRightInd w:val="0"/>
        <w:snapToGrid w:val="0"/>
        <w:spacing w:line="360" w:lineRule="auto"/>
        <w:ind w:firstLineChars="200" w:firstLine="480"/>
        <w:rPr>
          <w:rFonts w:ascii="宋体" w:hAnsi="宋体" w:cs="Arial"/>
          <w:sz w:val="24"/>
        </w:rPr>
      </w:pPr>
      <w:r>
        <w:rPr>
          <w:rFonts w:ascii="宋体" w:hAnsi="宋体" w:cs="Arial" w:hint="eastAsia"/>
          <w:sz w:val="24"/>
        </w:rPr>
        <w:t>存续期间：持续经营</w:t>
      </w:r>
    </w:p>
    <w:p w14:paraId="0182823B" w14:textId="77777777" w:rsidR="00166BB1" w:rsidRDefault="00166BB1">
      <w:pPr>
        <w:adjustRightInd w:val="0"/>
        <w:snapToGrid w:val="0"/>
        <w:spacing w:line="360" w:lineRule="auto"/>
        <w:ind w:firstLineChars="200" w:firstLine="480"/>
        <w:rPr>
          <w:rFonts w:ascii="宋体" w:hAnsi="宋体" w:cs="Arial"/>
          <w:sz w:val="24"/>
        </w:rPr>
      </w:pPr>
      <w:r>
        <w:rPr>
          <w:rFonts w:ascii="宋体" w:hAnsi="宋体" w:cs="Arial" w:hint="eastAsia"/>
          <w:sz w:val="24"/>
        </w:rPr>
        <w:t>基金托管资格批文</w:t>
      </w:r>
      <w:proofErr w:type="gramStart"/>
      <w:r>
        <w:rPr>
          <w:rFonts w:ascii="宋体" w:hAnsi="宋体" w:cs="Arial" w:hint="eastAsia"/>
          <w:sz w:val="24"/>
        </w:rPr>
        <w:t>文</w:t>
      </w:r>
      <w:proofErr w:type="gramEnd"/>
      <w:r>
        <w:rPr>
          <w:rFonts w:ascii="宋体" w:hAnsi="宋体" w:cs="Arial" w:hint="eastAsia"/>
          <w:sz w:val="24"/>
        </w:rPr>
        <w:t>号：中国证监会</w:t>
      </w:r>
      <w:proofErr w:type="gramStart"/>
      <w:r>
        <w:rPr>
          <w:rFonts w:ascii="宋体" w:hAnsi="宋体" w:cs="Arial" w:hint="eastAsia"/>
          <w:sz w:val="24"/>
        </w:rPr>
        <w:t>证监基字</w:t>
      </w:r>
      <w:proofErr w:type="gramEnd"/>
      <w:r>
        <w:rPr>
          <w:rFonts w:ascii="宋体" w:hAnsi="宋体" w:cs="Arial"/>
          <w:sz w:val="24"/>
        </w:rPr>
        <w:t>[1998]12</w:t>
      </w:r>
      <w:r>
        <w:rPr>
          <w:rFonts w:ascii="宋体" w:hAnsi="宋体" w:cs="Arial" w:hint="eastAsia"/>
          <w:sz w:val="24"/>
        </w:rPr>
        <w:t>号</w:t>
      </w:r>
    </w:p>
    <w:p w14:paraId="06CACC5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（二）基金托管人的权利与义务</w:t>
      </w:r>
      <w:bookmarkEnd w:id="161"/>
    </w:p>
    <w:p w14:paraId="2D0D838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1、根据《基金法》、《运作办法》及其他有关规定，基金托管人的权利包</w:t>
      </w:r>
      <w:r>
        <w:rPr>
          <w:rFonts w:ascii="宋体" w:hAnsi="宋体"/>
          <w:bCs/>
          <w:sz w:val="24"/>
          <w:szCs w:val="24"/>
        </w:rPr>
        <w:lastRenderedPageBreak/>
        <w:t>括但不限于：</w:t>
      </w:r>
    </w:p>
    <w:p w14:paraId="7A7B2B7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（1）自《基金合同》生效之日起，依法</w:t>
      </w:r>
      <w:proofErr w:type="gramStart"/>
      <w:r>
        <w:rPr>
          <w:rFonts w:ascii="宋体" w:hAnsi="宋体"/>
          <w:bCs/>
          <w:sz w:val="24"/>
          <w:szCs w:val="24"/>
        </w:rPr>
        <w:t>律法规</w:t>
      </w:r>
      <w:proofErr w:type="gramEnd"/>
      <w:r>
        <w:rPr>
          <w:rFonts w:ascii="宋体" w:hAnsi="宋体"/>
          <w:bCs/>
          <w:sz w:val="24"/>
          <w:szCs w:val="24"/>
        </w:rPr>
        <w:t>和《基金合同》的规定安全保管基金财产；</w:t>
      </w:r>
    </w:p>
    <w:p w14:paraId="62405C5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（2）依《基金合同》约定获得基金托管费以及法律法规规定或监管部门批准的其他费用；</w:t>
      </w:r>
    </w:p>
    <w:p w14:paraId="5A2497C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（3）监督基金管理人对本基金的投资运作，如发现基金管理人有违反《基金合同》及国家法律法规行为，对基金财产、其他当事人的利益造成重大损失的情形，</w:t>
      </w:r>
      <w:r>
        <w:rPr>
          <w:rFonts w:ascii="宋体" w:hAnsi="宋体" w:hint="eastAsia"/>
          <w:bCs/>
          <w:sz w:val="24"/>
          <w:szCs w:val="24"/>
        </w:rPr>
        <w:t>应</w:t>
      </w:r>
      <w:r>
        <w:rPr>
          <w:rFonts w:ascii="宋体" w:hAnsi="宋体"/>
          <w:bCs/>
          <w:sz w:val="24"/>
          <w:szCs w:val="24"/>
        </w:rPr>
        <w:t>呈报中国证监会，并采取必要措施保护基金投资</w:t>
      </w:r>
      <w:r>
        <w:rPr>
          <w:rFonts w:ascii="宋体" w:hAnsi="宋体" w:hint="eastAsia"/>
          <w:bCs/>
          <w:sz w:val="24"/>
          <w:szCs w:val="24"/>
        </w:rPr>
        <w:t>人</w:t>
      </w:r>
      <w:r>
        <w:rPr>
          <w:rFonts w:ascii="宋体" w:hAnsi="宋体"/>
          <w:bCs/>
          <w:sz w:val="24"/>
          <w:szCs w:val="24"/>
        </w:rPr>
        <w:t>的利益；</w:t>
      </w:r>
    </w:p>
    <w:p w14:paraId="48DFA361" w14:textId="77777777" w:rsidR="00166BB1" w:rsidRDefault="00166BB1">
      <w:pPr>
        <w:adjustRightInd w:val="0"/>
        <w:snapToGrid w:val="0"/>
        <w:spacing w:line="360" w:lineRule="auto"/>
        <w:ind w:firstLineChars="200" w:firstLine="480"/>
        <w:rPr>
          <w:rFonts w:ascii="宋体" w:hAnsi="宋体" w:cs="宋体"/>
          <w:bCs/>
          <w:sz w:val="24"/>
          <w:szCs w:val="24"/>
          <w:shd w:val="clear" w:color="FFFFFF" w:fill="D9D9D9"/>
        </w:rPr>
      </w:pPr>
      <w:r>
        <w:rPr>
          <w:rFonts w:ascii="宋体" w:hAnsi="宋体" w:hint="eastAsia"/>
          <w:bCs/>
          <w:sz w:val="24"/>
          <w:szCs w:val="24"/>
        </w:rPr>
        <w:t>（4）根据相关市场规则，为基金开设资金账户、证券账户等投资所需账户，为基金办理证券交易资金清算；</w:t>
      </w:r>
    </w:p>
    <w:p w14:paraId="468BA44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（5）提议召开或召集基金份额持有人大会；</w:t>
      </w:r>
    </w:p>
    <w:p w14:paraId="7629B15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（6）在基金管理人更换时，提名新的基金管理人；</w:t>
      </w:r>
    </w:p>
    <w:p w14:paraId="38858BB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（7）法律法规及中国证监会规定的和《基金合同》约定的其他权利。</w:t>
      </w:r>
    </w:p>
    <w:p w14:paraId="764D79A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2、根据《基金法》、《运作办法》及其他有关规定，基金托管人的义务包括但不限于：</w:t>
      </w:r>
    </w:p>
    <w:p w14:paraId="15406F1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（1）以诚实信用、勤勉尽责的原则持有并安全保管基金财产；</w:t>
      </w:r>
    </w:p>
    <w:p w14:paraId="63F23EA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（2）设立专门的基金托管部门，具有符合要求的营业场所，配备足够的、合格的熟悉基金托管业务的专职人员，负责基金财产托管事宜；</w:t>
      </w:r>
    </w:p>
    <w:p w14:paraId="5F5BB96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CE4B1F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（4）除依据《基金法》、基金合同及其他有关规定外，不得利用基金财产为自己及任何第三人谋取利益，不得委托第三人托管基金财产；</w:t>
      </w:r>
    </w:p>
    <w:p w14:paraId="4C8BE26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（5）保管由基金管理人代表基金签订的与基金有关的重大合同及有关凭证；</w:t>
      </w:r>
    </w:p>
    <w:p w14:paraId="2D79D14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按规定开设基金财产的资金账户和证券账户等投资所需账户，按照《基金合同》的约定，根据基金管理人的投资指令，及时办理清算、交割事宜；</w:t>
      </w:r>
    </w:p>
    <w:p w14:paraId="355D6EC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（7）保守基金商业秘密，除《基金法》、基金合同及其他有关</w:t>
      </w:r>
      <w:r>
        <w:rPr>
          <w:rFonts w:ascii="宋体" w:hAnsi="宋体" w:hint="eastAsia"/>
          <w:bCs/>
          <w:sz w:val="24"/>
          <w:szCs w:val="24"/>
        </w:rPr>
        <w:t>法律法规或监管机构</w:t>
      </w:r>
      <w:r>
        <w:rPr>
          <w:rFonts w:ascii="宋体" w:hAnsi="宋体"/>
          <w:bCs/>
          <w:sz w:val="24"/>
          <w:szCs w:val="24"/>
        </w:rPr>
        <w:t>另有规定</w:t>
      </w:r>
      <w:r>
        <w:rPr>
          <w:rFonts w:ascii="宋体" w:hAnsi="宋体" w:hint="eastAsia"/>
          <w:bCs/>
          <w:sz w:val="24"/>
          <w:szCs w:val="24"/>
        </w:rPr>
        <w:t>或要求</w:t>
      </w:r>
      <w:r>
        <w:rPr>
          <w:rFonts w:ascii="宋体" w:hAnsi="宋体"/>
          <w:bCs/>
          <w:sz w:val="24"/>
          <w:szCs w:val="24"/>
        </w:rPr>
        <w:t>外，在基金信息公开披露前予以保密，不得向他人泄露</w:t>
      </w:r>
      <w:r>
        <w:rPr>
          <w:rFonts w:ascii="宋体" w:hAnsi="宋体" w:hint="eastAsia"/>
          <w:bCs/>
          <w:sz w:val="24"/>
          <w:szCs w:val="24"/>
        </w:rPr>
        <w:t>，但</w:t>
      </w:r>
      <w:bookmarkStart w:id="162" w:name="OLE_LINK14"/>
      <w:bookmarkStart w:id="163" w:name="OLE_LINK13"/>
      <w:r>
        <w:rPr>
          <w:rFonts w:ascii="宋体" w:hAnsi="宋体" w:hint="eastAsia"/>
          <w:bCs/>
          <w:sz w:val="24"/>
          <w:szCs w:val="24"/>
        </w:rPr>
        <w:t>向</w:t>
      </w:r>
      <w:bookmarkStart w:id="164" w:name="OLE_LINK12"/>
      <w:bookmarkStart w:id="165" w:name="OLE_LINK11"/>
      <w:r>
        <w:rPr>
          <w:rFonts w:ascii="宋体" w:hAnsi="宋体" w:hint="eastAsia"/>
          <w:bCs/>
          <w:sz w:val="24"/>
          <w:szCs w:val="24"/>
        </w:rPr>
        <w:t>监管机构、司法机关</w:t>
      </w:r>
      <w:bookmarkEnd w:id="164"/>
      <w:bookmarkEnd w:id="165"/>
      <w:r>
        <w:rPr>
          <w:rFonts w:ascii="宋体" w:hAnsi="宋体" w:hint="eastAsia"/>
          <w:bCs/>
          <w:sz w:val="24"/>
          <w:szCs w:val="24"/>
        </w:rPr>
        <w:t>提供或因审计、法律等外部专业顾问提供服务而向其提</w:t>
      </w:r>
      <w:r>
        <w:rPr>
          <w:rFonts w:ascii="宋体" w:hAnsi="宋体" w:hint="eastAsia"/>
          <w:bCs/>
          <w:sz w:val="24"/>
          <w:szCs w:val="24"/>
        </w:rPr>
        <w:lastRenderedPageBreak/>
        <w:t>供的情况除外</w:t>
      </w:r>
      <w:bookmarkEnd w:id="162"/>
      <w:bookmarkEnd w:id="163"/>
      <w:r>
        <w:rPr>
          <w:rFonts w:ascii="宋体" w:hAnsi="宋体"/>
          <w:bCs/>
          <w:sz w:val="24"/>
          <w:szCs w:val="24"/>
        </w:rPr>
        <w:t>；</w:t>
      </w:r>
    </w:p>
    <w:p w14:paraId="5C706D3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（8）复核、审查基金管理人计算的基金资产净值、</w:t>
      </w:r>
      <w:r>
        <w:rPr>
          <w:rFonts w:ascii="宋体" w:hAnsi="宋体" w:hint="eastAsia"/>
          <w:bCs/>
          <w:sz w:val="24"/>
          <w:szCs w:val="24"/>
        </w:rPr>
        <w:t>各类基金份额净值、</w:t>
      </w:r>
      <w:r>
        <w:rPr>
          <w:rFonts w:ascii="宋体" w:hAnsi="宋体"/>
          <w:bCs/>
          <w:sz w:val="24"/>
          <w:szCs w:val="24"/>
        </w:rPr>
        <w:t>基金份额申购、赎回价格；</w:t>
      </w:r>
    </w:p>
    <w:p w14:paraId="6019A58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（9）办理与基金托管业务活动有关的信息披露事项；</w:t>
      </w:r>
    </w:p>
    <w:p w14:paraId="52F0E74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（10）对基金财务会计报告、</w:t>
      </w:r>
      <w:r>
        <w:rPr>
          <w:rFonts w:ascii="宋体" w:hAnsi="宋体" w:hint="eastAsia"/>
          <w:bCs/>
          <w:sz w:val="24"/>
          <w:szCs w:val="24"/>
        </w:rPr>
        <w:t>季度报告、中期报告和年度报告</w:t>
      </w:r>
      <w:r>
        <w:rPr>
          <w:rFonts w:ascii="宋体" w:hAnsi="宋体"/>
          <w:bCs/>
          <w:sz w:val="24"/>
          <w:szCs w:val="24"/>
        </w:rPr>
        <w:t>出具意见，说明基金管理人在各重要方面的运作是否严格按照基金合同的规定进行；如果基金管理人有未执行基金合同规定的行为，还应当说明基金托管人是否采取了适当的措施；</w:t>
      </w:r>
    </w:p>
    <w:p w14:paraId="7EE4FBC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（11）保存基金托管业务活动的记录、账册、报表和其他相关资料</w:t>
      </w:r>
      <w:r>
        <w:rPr>
          <w:rFonts w:ascii="宋体" w:hAnsi="宋体" w:hint="eastAsia"/>
          <w:bCs/>
          <w:sz w:val="24"/>
          <w:szCs w:val="24"/>
        </w:rPr>
        <w:t>，保存期限不低于法律法规规定的最低期限</w:t>
      </w:r>
      <w:r>
        <w:rPr>
          <w:rFonts w:ascii="宋体" w:hAnsi="宋体"/>
          <w:bCs/>
          <w:sz w:val="24"/>
          <w:szCs w:val="24"/>
        </w:rPr>
        <w:t>；</w:t>
      </w:r>
    </w:p>
    <w:p w14:paraId="319B3C6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（12）从基金管理人或其委托的登记机构处接收并保存基金份额持有人名册</w:t>
      </w:r>
      <w:r>
        <w:rPr>
          <w:rFonts w:ascii="宋体" w:hAnsi="宋体" w:hint="eastAsia"/>
          <w:bCs/>
          <w:sz w:val="24"/>
          <w:szCs w:val="24"/>
        </w:rPr>
        <w:t>，保存期限不低于法律法规规定的最低期限</w:t>
      </w:r>
      <w:r>
        <w:rPr>
          <w:rFonts w:ascii="宋体" w:hAnsi="宋体"/>
          <w:bCs/>
          <w:sz w:val="24"/>
          <w:szCs w:val="24"/>
        </w:rPr>
        <w:t>；</w:t>
      </w:r>
    </w:p>
    <w:p w14:paraId="2B6A4B0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（13）按规定制作相关账册并与基金管理人核对；</w:t>
      </w:r>
    </w:p>
    <w:p w14:paraId="27CC800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（14）依据基金管理人的指令或有关规定向基金份额持有人支付基金收益和赎回款项；</w:t>
      </w:r>
    </w:p>
    <w:p w14:paraId="6B57EFB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（15）依据《基金法》、基金合同及其他有关规定，召集基金份额持有人大会或配合基金管理人、基金份额持有人依法召集基金份额持有人大会；</w:t>
      </w:r>
    </w:p>
    <w:p w14:paraId="27935C2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（16）按照法律法规和基金合同的规定监督基金管理人的投资运作；</w:t>
      </w:r>
    </w:p>
    <w:p w14:paraId="5B42172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（17）参加基金财产清算小组，参与基金财产的保管、清理、估价、变现和分配；</w:t>
      </w:r>
    </w:p>
    <w:p w14:paraId="117F4A1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（18）面临解散、依法被撤销或者被依法宣告破产时，及时报告中国证监会和</w:t>
      </w:r>
      <w:r>
        <w:rPr>
          <w:rFonts w:ascii="宋体" w:hAnsi="宋体" w:hint="eastAsia"/>
          <w:bCs/>
          <w:sz w:val="24"/>
          <w:szCs w:val="24"/>
        </w:rPr>
        <w:t>银行业监督管理机构</w:t>
      </w:r>
      <w:r>
        <w:rPr>
          <w:rFonts w:ascii="宋体" w:hAnsi="宋体"/>
          <w:bCs/>
          <w:sz w:val="24"/>
          <w:szCs w:val="24"/>
        </w:rPr>
        <w:t>，并通知基金管理人；</w:t>
      </w:r>
    </w:p>
    <w:p w14:paraId="5B498DF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（19）因违反基金合同导致基金财产损失时，应承担赔偿责任，其赔偿责任不因其退任而免除；</w:t>
      </w:r>
    </w:p>
    <w:p w14:paraId="2FD95A5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（20）按规定监督基金管理人按法律法规和基金合同规定履行自己的义务，基金管理人因违反基金合同造成基金财产损失时，应为基金份额持有人利益向基金管理人追偿</w:t>
      </w:r>
      <w:bookmarkStart w:id="166" w:name="_Hlt88825668"/>
      <w:bookmarkEnd w:id="166"/>
      <w:r>
        <w:rPr>
          <w:rFonts w:ascii="宋体" w:hAnsi="宋体"/>
          <w:bCs/>
          <w:sz w:val="24"/>
          <w:szCs w:val="24"/>
        </w:rPr>
        <w:t>；</w:t>
      </w:r>
    </w:p>
    <w:p w14:paraId="406B61E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（21）执行生效的基金份额持有人大会的决</w:t>
      </w:r>
      <w:r>
        <w:rPr>
          <w:rFonts w:ascii="宋体" w:hAnsi="宋体" w:hint="eastAsia"/>
          <w:bCs/>
          <w:sz w:val="24"/>
          <w:szCs w:val="24"/>
        </w:rPr>
        <w:t>议</w:t>
      </w:r>
      <w:r>
        <w:rPr>
          <w:rFonts w:ascii="宋体" w:hAnsi="宋体"/>
          <w:bCs/>
          <w:sz w:val="24"/>
          <w:szCs w:val="24"/>
        </w:rPr>
        <w:t>；</w:t>
      </w:r>
    </w:p>
    <w:p w14:paraId="7297610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（22）</w:t>
      </w:r>
      <w:bookmarkStart w:id="167" w:name="_Toc523711670"/>
      <w:r>
        <w:rPr>
          <w:rFonts w:ascii="宋体" w:hAnsi="宋体"/>
          <w:bCs/>
          <w:sz w:val="24"/>
          <w:szCs w:val="24"/>
        </w:rPr>
        <w:t>法律法规及中国证监会规定的和基金合同约定的其他义务。</w:t>
      </w:r>
    </w:p>
    <w:p w14:paraId="3473789B" w14:textId="77777777" w:rsidR="00166BB1" w:rsidRDefault="00166BB1">
      <w:pPr>
        <w:adjustRightInd w:val="0"/>
        <w:snapToGrid w:val="0"/>
        <w:spacing w:line="360" w:lineRule="auto"/>
        <w:ind w:firstLineChars="200" w:firstLine="480"/>
        <w:rPr>
          <w:rFonts w:ascii="宋体" w:hAnsi="宋体"/>
          <w:bCs/>
          <w:sz w:val="24"/>
          <w:szCs w:val="24"/>
        </w:rPr>
      </w:pPr>
      <w:bookmarkStart w:id="168" w:name="_Toc79392582"/>
      <w:bookmarkEnd w:id="167"/>
      <w:r>
        <w:rPr>
          <w:rFonts w:ascii="宋体" w:hAnsi="宋体"/>
          <w:bCs/>
          <w:sz w:val="24"/>
          <w:szCs w:val="24"/>
        </w:rPr>
        <w:t>三、基金份额持有人</w:t>
      </w:r>
      <w:bookmarkEnd w:id="168"/>
    </w:p>
    <w:p w14:paraId="4CE6AB6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基金投资</w:t>
      </w:r>
      <w:r>
        <w:rPr>
          <w:rFonts w:ascii="宋体" w:hAnsi="宋体" w:hint="eastAsia"/>
          <w:bCs/>
          <w:sz w:val="24"/>
          <w:szCs w:val="24"/>
        </w:rPr>
        <w:t>人持有</w:t>
      </w:r>
      <w:r>
        <w:rPr>
          <w:rFonts w:ascii="宋体" w:hAnsi="宋体"/>
          <w:bCs/>
          <w:sz w:val="24"/>
          <w:szCs w:val="24"/>
        </w:rPr>
        <w:t>本</w:t>
      </w:r>
      <w:proofErr w:type="gramStart"/>
      <w:r>
        <w:rPr>
          <w:rFonts w:ascii="宋体" w:hAnsi="宋体"/>
          <w:bCs/>
          <w:sz w:val="24"/>
          <w:szCs w:val="24"/>
        </w:rPr>
        <w:t>基金</w:t>
      </w:r>
      <w:bookmarkStart w:id="169" w:name="_Hlt88899909"/>
      <w:bookmarkEnd w:id="169"/>
      <w:r>
        <w:rPr>
          <w:rFonts w:ascii="宋体" w:hAnsi="宋体"/>
          <w:bCs/>
          <w:sz w:val="24"/>
          <w:szCs w:val="24"/>
        </w:rPr>
        <w:t>基金</w:t>
      </w:r>
      <w:proofErr w:type="gramEnd"/>
      <w:r>
        <w:rPr>
          <w:rFonts w:ascii="宋体" w:hAnsi="宋体"/>
          <w:bCs/>
          <w:sz w:val="24"/>
          <w:szCs w:val="24"/>
        </w:rPr>
        <w:t>份额的行为即视为对《基金合同》的承认和接受，基金投资</w:t>
      </w:r>
      <w:r>
        <w:rPr>
          <w:rFonts w:ascii="宋体" w:hAnsi="宋体" w:hint="eastAsia"/>
          <w:bCs/>
          <w:sz w:val="24"/>
          <w:szCs w:val="24"/>
        </w:rPr>
        <w:t>人</w:t>
      </w:r>
      <w:proofErr w:type="gramStart"/>
      <w:r>
        <w:rPr>
          <w:rFonts w:ascii="宋体" w:hAnsi="宋体"/>
          <w:bCs/>
          <w:sz w:val="24"/>
          <w:szCs w:val="24"/>
        </w:rPr>
        <w:t>自依据</w:t>
      </w:r>
      <w:proofErr w:type="gramEnd"/>
      <w:r>
        <w:rPr>
          <w:rFonts w:ascii="宋体" w:hAnsi="宋体" w:hint="eastAsia"/>
          <w:bCs/>
          <w:sz w:val="24"/>
          <w:szCs w:val="24"/>
        </w:rPr>
        <w:t>《基金合同》</w:t>
      </w:r>
      <w:r>
        <w:rPr>
          <w:rFonts w:ascii="宋体" w:hAnsi="宋体"/>
          <w:bCs/>
          <w:sz w:val="24"/>
          <w:szCs w:val="24"/>
        </w:rPr>
        <w:t>取得基金份额，即成为本</w:t>
      </w:r>
      <w:proofErr w:type="gramStart"/>
      <w:r>
        <w:rPr>
          <w:rFonts w:ascii="宋体" w:hAnsi="宋体"/>
          <w:bCs/>
          <w:sz w:val="24"/>
          <w:szCs w:val="24"/>
        </w:rPr>
        <w:t>基金</w:t>
      </w:r>
      <w:r>
        <w:rPr>
          <w:rFonts w:ascii="宋体" w:hAnsi="宋体" w:hint="eastAsia"/>
          <w:bCs/>
          <w:sz w:val="24"/>
          <w:szCs w:val="24"/>
        </w:rPr>
        <w:t>基金</w:t>
      </w:r>
      <w:proofErr w:type="gramEnd"/>
      <w:r>
        <w:rPr>
          <w:rFonts w:ascii="宋体" w:hAnsi="宋体"/>
          <w:bCs/>
          <w:sz w:val="24"/>
          <w:szCs w:val="24"/>
        </w:rPr>
        <w:t>份额持有人和</w:t>
      </w:r>
      <w:r>
        <w:rPr>
          <w:rFonts w:ascii="宋体" w:hAnsi="宋体" w:hint="eastAsia"/>
          <w:bCs/>
          <w:sz w:val="24"/>
          <w:szCs w:val="24"/>
        </w:rPr>
        <w:t>《基金合同》</w:t>
      </w:r>
      <w:r>
        <w:rPr>
          <w:rFonts w:ascii="宋体" w:hAnsi="宋体"/>
          <w:bCs/>
          <w:sz w:val="24"/>
          <w:szCs w:val="24"/>
        </w:rPr>
        <w:t>的当事人，直至其不再持有本</w:t>
      </w:r>
      <w:proofErr w:type="gramStart"/>
      <w:r>
        <w:rPr>
          <w:rFonts w:ascii="宋体" w:hAnsi="宋体"/>
          <w:bCs/>
          <w:sz w:val="24"/>
          <w:szCs w:val="24"/>
        </w:rPr>
        <w:t>基金基金</w:t>
      </w:r>
      <w:proofErr w:type="gramEnd"/>
      <w:r>
        <w:rPr>
          <w:rFonts w:ascii="宋体" w:hAnsi="宋体"/>
          <w:bCs/>
          <w:sz w:val="24"/>
          <w:szCs w:val="24"/>
        </w:rPr>
        <w:t>份额。基金份额持有人作为</w:t>
      </w:r>
      <w:r>
        <w:rPr>
          <w:rFonts w:ascii="宋体" w:hAnsi="宋体" w:hint="eastAsia"/>
          <w:bCs/>
          <w:sz w:val="24"/>
          <w:szCs w:val="24"/>
        </w:rPr>
        <w:t>《基金合同》</w:t>
      </w:r>
      <w:r>
        <w:rPr>
          <w:rFonts w:ascii="宋体" w:hAnsi="宋体"/>
          <w:bCs/>
          <w:sz w:val="24"/>
          <w:szCs w:val="24"/>
        </w:rPr>
        <w:t>当事人并不以在</w:t>
      </w:r>
      <w:r>
        <w:rPr>
          <w:rFonts w:ascii="宋体" w:hAnsi="宋体" w:hint="eastAsia"/>
          <w:bCs/>
          <w:sz w:val="24"/>
          <w:szCs w:val="24"/>
        </w:rPr>
        <w:t>《基金合同》</w:t>
      </w:r>
      <w:r>
        <w:rPr>
          <w:rFonts w:ascii="宋体" w:hAnsi="宋体"/>
          <w:bCs/>
          <w:sz w:val="24"/>
          <w:szCs w:val="24"/>
        </w:rPr>
        <w:t>上书面签章或签字为必要条件。</w:t>
      </w:r>
    </w:p>
    <w:p w14:paraId="484A40C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除法律法规另有规定或基金合同另有约定外，本基金同一类别每份基金份额具有同等的合法权益。本基金A类基金份额与</w:t>
      </w:r>
      <w:r>
        <w:rPr>
          <w:rFonts w:ascii="宋体" w:hAnsi="宋体"/>
          <w:bCs/>
          <w:sz w:val="24"/>
          <w:szCs w:val="24"/>
        </w:rPr>
        <w:t>C</w:t>
      </w:r>
      <w:r>
        <w:rPr>
          <w:rFonts w:ascii="宋体" w:hAnsi="宋体" w:hint="eastAsia"/>
          <w:bCs/>
          <w:sz w:val="24"/>
          <w:szCs w:val="24"/>
        </w:rPr>
        <w:t>类基金份额由于基金份额净值的不同，基金收益分配的金额以及参与清算后的剩余基金财产分配的数量将可能有所不同</w:t>
      </w:r>
      <w:r>
        <w:rPr>
          <w:rFonts w:ascii="宋体" w:hAnsi="宋体"/>
          <w:bCs/>
          <w:sz w:val="24"/>
          <w:szCs w:val="24"/>
        </w:rPr>
        <w:t>。</w:t>
      </w:r>
    </w:p>
    <w:p w14:paraId="63A3A1C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1、根据《基金法》、《运作办法》及其他有关规定，基金份额持有人的权利包括但不限于：</w:t>
      </w:r>
    </w:p>
    <w:p w14:paraId="1783265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（1）分享基金财产收益；</w:t>
      </w:r>
    </w:p>
    <w:p w14:paraId="1D61BA0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（2）参与分配清算后的剩余基金财产；</w:t>
      </w:r>
      <w:bookmarkStart w:id="170" w:name="_Hlt88825574"/>
      <w:bookmarkEnd w:id="170"/>
    </w:p>
    <w:p w14:paraId="492A9F1F" w14:textId="77777777" w:rsidR="00166BB1" w:rsidRDefault="00166BB1">
      <w:pPr>
        <w:adjustRightInd w:val="0"/>
        <w:snapToGrid w:val="0"/>
        <w:spacing w:line="360" w:lineRule="auto"/>
        <w:ind w:firstLineChars="200" w:firstLine="480"/>
        <w:rPr>
          <w:rFonts w:ascii="宋体" w:hAnsi="宋体" w:cs="宋体"/>
          <w:bCs/>
          <w:sz w:val="24"/>
          <w:szCs w:val="24"/>
          <w:shd w:val="clear" w:color="FFFFFF" w:fill="D9D9D9"/>
        </w:rPr>
      </w:pPr>
      <w:r>
        <w:rPr>
          <w:rFonts w:ascii="宋体" w:hAnsi="宋体"/>
          <w:bCs/>
          <w:sz w:val="24"/>
          <w:szCs w:val="24"/>
        </w:rPr>
        <w:t>（3）</w:t>
      </w:r>
      <w:r>
        <w:rPr>
          <w:rFonts w:ascii="宋体" w:hAnsi="宋体" w:hint="eastAsia"/>
          <w:bCs/>
          <w:sz w:val="24"/>
          <w:szCs w:val="24"/>
        </w:rPr>
        <w:t>依法转让或者申请赎回其持有的基金份额</w:t>
      </w:r>
      <w:r>
        <w:rPr>
          <w:rFonts w:ascii="宋体" w:hAnsi="宋体"/>
          <w:bCs/>
          <w:sz w:val="24"/>
          <w:szCs w:val="24"/>
        </w:rPr>
        <w:t>；</w:t>
      </w:r>
    </w:p>
    <w:p w14:paraId="0327366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（4）按照规定要求召开基金份额持有人大会</w:t>
      </w:r>
      <w:r>
        <w:rPr>
          <w:rFonts w:ascii="宋体" w:hAnsi="宋体" w:hint="eastAsia"/>
          <w:bCs/>
          <w:sz w:val="24"/>
          <w:szCs w:val="24"/>
        </w:rPr>
        <w:t>或者召集基金份额持有人大会</w:t>
      </w:r>
      <w:r>
        <w:rPr>
          <w:rFonts w:ascii="宋体" w:hAnsi="宋体"/>
          <w:bCs/>
          <w:sz w:val="24"/>
          <w:szCs w:val="24"/>
        </w:rPr>
        <w:t>；</w:t>
      </w:r>
    </w:p>
    <w:p w14:paraId="125F454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（5）出席或者委派代表出席基金份额持有人大会，对基金份额持有人大会审议事项行使表决权；</w:t>
      </w:r>
      <w:r>
        <w:rPr>
          <w:rFonts w:ascii="宋体" w:hAnsi="宋体" w:hint="eastAsia"/>
          <w:bCs/>
          <w:sz w:val="24"/>
          <w:szCs w:val="24"/>
        </w:rPr>
        <w:t>出席或者委派代表出席目标ETF基金份额持有人大会，对目标ETF基金份额持有人大会审议事项行使表决权；</w:t>
      </w:r>
    </w:p>
    <w:p w14:paraId="6BF21E5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（6）查阅或者复制公开披露的基金信息资料；</w:t>
      </w:r>
    </w:p>
    <w:p w14:paraId="42830D7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（7）监督基金管理人的投资运作；</w:t>
      </w:r>
    </w:p>
    <w:p w14:paraId="38A8F6B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（8）对基金管理人、基金托管人、基金</w:t>
      </w:r>
      <w:r>
        <w:rPr>
          <w:rFonts w:ascii="宋体" w:hAnsi="宋体" w:hint="eastAsia"/>
          <w:bCs/>
          <w:sz w:val="24"/>
          <w:szCs w:val="24"/>
        </w:rPr>
        <w:t>服务</w:t>
      </w:r>
      <w:r>
        <w:rPr>
          <w:rFonts w:ascii="宋体" w:hAnsi="宋体"/>
          <w:bCs/>
          <w:sz w:val="24"/>
          <w:szCs w:val="24"/>
        </w:rPr>
        <w:t>机构损害其合法权益的行为依法提起诉讼或仲裁；</w:t>
      </w:r>
    </w:p>
    <w:p w14:paraId="450E55F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法律法规及中国证监会规定的和《基金合同》约定的其他</w:t>
      </w:r>
      <w:r>
        <w:rPr>
          <w:rFonts w:ascii="宋体" w:hAnsi="宋体"/>
          <w:bCs/>
          <w:sz w:val="24"/>
          <w:szCs w:val="24"/>
        </w:rPr>
        <w:t>权利。</w:t>
      </w:r>
    </w:p>
    <w:p w14:paraId="52051CD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2、根据《基金法》、《运作办法》及其他有关规定，基金份额持有人的义务包括但不限于：</w:t>
      </w:r>
    </w:p>
    <w:p w14:paraId="292FD60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（1）认真阅读并遵守基金合同</w:t>
      </w:r>
      <w:r>
        <w:rPr>
          <w:rFonts w:ascii="宋体" w:hAnsi="宋体" w:hint="eastAsia"/>
          <w:bCs/>
          <w:sz w:val="24"/>
          <w:szCs w:val="24"/>
        </w:rPr>
        <w:t>、招募说明书、基金产品资料概要等信息披露文件</w:t>
      </w:r>
      <w:r>
        <w:rPr>
          <w:rFonts w:ascii="宋体" w:hAnsi="宋体"/>
          <w:bCs/>
          <w:sz w:val="24"/>
          <w:szCs w:val="24"/>
        </w:rPr>
        <w:t>；</w:t>
      </w:r>
    </w:p>
    <w:p w14:paraId="2B3251F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（2）了解所投资基金产品，了解自身风险承受能力，</w:t>
      </w:r>
      <w:r>
        <w:rPr>
          <w:rFonts w:ascii="宋体" w:hAnsi="宋体" w:hint="eastAsia"/>
          <w:bCs/>
          <w:sz w:val="24"/>
          <w:szCs w:val="24"/>
        </w:rPr>
        <w:t>自主判断基金的投资价值，自主做出投资决策，</w:t>
      </w:r>
      <w:r>
        <w:rPr>
          <w:rFonts w:ascii="宋体" w:hAnsi="宋体"/>
          <w:bCs/>
          <w:sz w:val="24"/>
          <w:szCs w:val="24"/>
        </w:rPr>
        <w:t>自行承担投资风险；</w:t>
      </w:r>
    </w:p>
    <w:p w14:paraId="447F238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（3）关注基金信息披露，及时行使权利和履行义务；</w:t>
      </w:r>
    </w:p>
    <w:p w14:paraId="5C82F81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交</w:t>
      </w:r>
      <w:r>
        <w:rPr>
          <w:rFonts w:ascii="宋体" w:hAnsi="宋体"/>
          <w:bCs/>
          <w:sz w:val="24"/>
          <w:szCs w:val="24"/>
        </w:rPr>
        <w:t>纳基金认购、申购款项及法律法规和基金合同所规定的费用；</w:t>
      </w:r>
    </w:p>
    <w:p w14:paraId="2774627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（5）在其持有的基金份额范围内，承担基金亏损或者基金合同终止的有限责任；</w:t>
      </w:r>
    </w:p>
    <w:p w14:paraId="36F286D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（6）不从事任何有损基金及其他基金合同当事人合法权益的活动；</w:t>
      </w:r>
    </w:p>
    <w:p w14:paraId="112A9EA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（7）执行生效的基金份额持有人大会的</w:t>
      </w:r>
      <w:r>
        <w:rPr>
          <w:rFonts w:ascii="宋体" w:hAnsi="宋体" w:hint="eastAsia"/>
          <w:bCs/>
          <w:sz w:val="24"/>
          <w:szCs w:val="24"/>
        </w:rPr>
        <w:t>决议</w:t>
      </w:r>
      <w:r>
        <w:rPr>
          <w:rFonts w:ascii="宋体" w:hAnsi="宋体"/>
          <w:bCs/>
          <w:sz w:val="24"/>
          <w:szCs w:val="24"/>
        </w:rPr>
        <w:t>；</w:t>
      </w:r>
    </w:p>
    <w:p w14:paraId="2B150BE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（8）返还在基金交易过程中因任何原因获得的不当得利；</w:t>
      </w:r>
    </w:p>
    <w:p w14:paraId="6176E00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（9）向基金管理人和监管机构提供依法要求提供的信息，以及不时的更新和补充，并保证其真实性；</w:t>
      </w:r>
    </w:p>
    <w:p w14:paraId="287D6C7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（10）遵守基金管理人、基金托管人、销售机构和登记机构的相关交易及业务规则；</w:t>
      </w:r>
    </w:p>
    <w:p w14:paraId="6EB62D9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（11）遵守中华人民共和国反洗</w:t>
      </w:r>
      <w:proofErr w:type="gramStart"/>
      <w:r>
        <w:rPr>
          <w:rFonts w:ascii="宋体" w:hAnsi="宋体" w:hint="eastAsia"/>
          <w:bCs/>
          <w:sz w:val="24"/>
          <w:szCs w:val="24"/>
        </w:rPr>
        <w:t>钱法律</w:t>
      </w:r>
      <w:proofErr w:type="gramEnd"/>
      <w:r>
        <w:rPr>
          <w:rFonts w:ascii="宋体" w:hAnsi="宋体" w:hint="eastAsia"/>
          <w:bCs/>
          <w:sz w:val="24"/>
          <w:szCs w:val="24"/>
        </w:rPr>
        <w:t>法规，配合基金管理人、基金托管人履行反洗钱职责；</w:t>
      </w:r>
    </w:p>
    <w:p w14:paraId="5DFF4A4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2</w:t>
      </w:r>
      <w:r>
        <w:rPr>
          <w:rFonts w:ascii="宋体" w:hAnsi="宋体" w:hint="eastAsia"/>
          <w:bCs/>
          <w:sz w:val="24"/>
          <w:szCs w:val="24"/>
        </w:rPr>
        <w:t>）</w:t>
      </w:r>
      <w:r>
        <w:rPr>
          <w:rFonts w:ascii="宋体" w:hAnsi="宋体"/>
          <w:bCs/>
          <w:sz w:val="24"/>
          <w:szCs w:val="24"/>
        </w:rPr>
        <w:t>法律法规及中国证监会规定的和基金合同约定的其他义务。</w:t>
      </w:r>
    </w:p>
    <w:p w14:paraId="25D1529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四、基金管理人、基金托管人简况涉及</w:t>
      </w:r>
      <w:r>
        <w:rPr>
          <w:rFonts w:ascii="宋体" w:hAnsi="宋体"/>
          <w:bCs/>
          <w:sz w:val="24"/>
          <w:szCs w:val="24"/>
        </w:rPr>
        <w:t>基本</w:t>
      </w:r>
      <w:r>
        <w:rPr>
          <w:rFonts w:ascii="宋体" w:hAnsi="宋体" w:hint="eastAsia"/>
          <w:bCs/>
          <w:sz w:val="24"/>
          <w:szCs w:val="24"/>
        </w:rPr>
        <w:t>信息更新的，将在招募说明书中更新，基金管理人、基金托管人简况以招募说明书（更新）中披露的信息为准。</w:t>
      </w:r>
    </w:p>
    <w:p w14:paraId="6A5A7206" w14:textId="77777777" w:rsidR="00166BB1" w:rsidRDefault="00166BB1">
      <w:pPr>
        <w:pStyle w:val="1"/>
        <w:spacing w:before="0" w:after="0"/>
        <w:jc w:val="center"/>
        <w:rPr>
          <w:rFonts w:ascii="Times New Roman"/>
          <w:b w:val="0"/>
          <w:bCs/>
          <w:color w:val="auto"/>
        </w:rPr>
      </w:pPr>
      <w:r>
        <w:rPr>
          <w:rFonts w:ascii="Times New Roman"/>
          <w:b w:val="0"/>
          <w:bCs/>
          <w:color w:val="auto"/>
        </w:rPr>
        <w:br w:type="page"/>
      </w:r>
      <w:bookmarkStart w:id="171" w:name="_Toc123102455"/>
      <w:bookmarkStart w:id="172" w:name="_Toc18567"/>
      <w:bookmarkStart w:id="173" w:name="_Toc11030"/>
      <w:bookmarkStart w:id="174" w:name="_Toc123051454"/>
      <w:bookmarkStart w:id="175" w:name="_Toc3771"/>
      <w:bookmarkStart w:id="176" w:name="_Toc3321"/>
      <w:bookmarkStart w:id="177" w:name="_Toc25783"/>
      <w:bookmarkStart w:id="178" w:name="_Toc141703888"/>
      <w:bookmarkStart w:id="179" w:name="_Toc9706"/>
      <w:bookmarkStart w:id="180" w:name="_Toc7058"/>
      <w:bookmarkStart w:id="181" w:name="_Toc89430563"/>
      <w:bookmarkStart w:id="182" w:name="_Toc10650"/>
      <w:bookmarkStart w:id="183" w:name="_Toc4559"/>
      <w:bookmarkStart w:id="184" w:name="_Toc123112236"/>
      <w:bookmarkStart w:id="185" w:name="_Toc98560354"/>
      <w:bookmarkStart w:id="186" w:name="_Toc139991738"/>
      <w:bookmarkStart w:id="187" w:name="_Toc531676875"/>
      <w:bookmarkStart w:id="188" w:name="_Toc79392583"/>
      <w:bookmarkStart w:id="189" w:name="_Toc6447"/>
    </w:p>
    <w:p w14:paraId="2AD54418" w14:textId="77777777" w:rsidR="00166BB1" w:rsidRDefault="00166BB1">
      <w:pPr>
        <w:pStyle w:val="1"/>
        <w:spacing w:before="0" w:after="0"/>
        <w:jc w:val="center"/>
        <w:rPr>
          <w:rFonts w:ascii="Times New Roman"/>
          <w:color w:val="auto"/>
          <w:sz w:val="32"/>
        </w:rPr>
      </w:pPr>
      <w:r>
        <w:rPr>
          <w:rFonts w:ascii="Times New Roman"/>
          <w:color w:val="auto"/>
          <w:sz w:val="32"/>
        </w:rPr>
        <w:lastRenderedPageBreak/>
        <w:t>第</w:t>
      </w:r>
      <w:r>
        <w:rPr>
          <w:rFonts w:ascii="Times New Roman" w:hint="eastAsia"/>
          <w:color w:val="auto"/>
          <w:sz w:val="32"/>
        </w:rPr>
        <w:t>八</w:t>
      </w:r>
      <w:r>
        <w:rPr>
          <w:rFonts w:ascii="Times New Roman"/>
          <w:color w:val="auto"/>
          <w:sz w:val="32"/>
        </w:rPr>
        <w:t>部分</w:t>
      </w:r>
      <w:r>
        <w:rPr>
          <w:rFonts w:ascii="Times New Roman" w:hint="eastAsia"/>
          <w:color w:val="auto"/>
          <w:sz w:val="32"/>
        </w:rPr>
        <w:t xml:space="preserve">  </w:t>
      </w:r>
      <w:r>
        <w:rPr>
          <w:rFonts w:ascii="Times New Roman"/>
          <w:color w:val="auto"/>
          <w:sz w:val="32"/>
        </w:rPr>
        <w:t>基金份额持有人大会</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p>
    <w:p w14:paraId="52A2267B" w14:textId="77777777" w:rsidR="00166BB1" w:rsidRDefault="00166BB1">
      <w:pPr>
        <w:tabs>
          <w:tab w:val="left" w:pos="1080"/>
        </w:tabs>
        <w:spacing w:line="360" w:lineRule="auto"/>
        <w:ind w:leftChars="199" w:left="1076" w:hangingChars="274" w:hanging="658"/>
        <w:rPr>
          <w:bCs/>
          <w:sz w:val="24"/>
        </w:rPr>
      </w:pPr>
    </w:p>
    <w:p w14:paraId="31AB2DC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基金份额持有人大会由基金份额持有人组成，基金份额持有人的合法授权代表有权代表基金份额持有人出席会议并表决。</w:t>
      </w:r>
      <w:r>
        <w:rPr>
          <w:rFonts w:ascii="宋体" w:hAnsi="宋体" w:hint="eastAsia"/>
          <w:bCs/>
          <w:sz w:val="24"/>
          <w:szCs w:val="24"/>
        </w:rPr>
        <w:t>除法律法规另有规定或基金合同另有约定外，</w:t>
      </w:r>
      <w:r>
        <w:rPr>
          <w:rFonts w:ascii="宋体" w:hAnsi="宋体"/>
          <w:bCs/>
          <w:sz w:val="24"/>
          <w:szCs w:val="24"/>
        </w:rPr>
        <w:t>基金份额持有人持有的每一基金份额拥有平等的投票权。</w:t>
      </w:r>
    </w:p>
    <w:p w14:paraId="0F06FC44" w14:textId="77777777" w:rsidR="00166BB1" w:rsidRDefault="00166BB1">
      <w:pPr>
        <w:snapToGrid w:val="0"/>
        <w:spacing w:line="360" w:lineRule="auto"/>
        <w:ind w:firstLine="480"/>
        <w:rPr>
          <w:rFonts w:ascii="宋体" w:hAnsi="宋体"/>
          <w:bCs/>
          <w:sz w:val="24"/>
          <w:szCs w:val="24"/>
        </w:rPr>
      </w:pPr>
      <w:proofErr w:type="gramStart"/>
      <w:r>
        <w:rPr>
          <w:rFonts w:ascii="宋体" w:hAnsi="宋体" w:hint="eastAsia"/>
          <w:bCs/>
          <w:sz w:val="24"/>
          <w:szCs w:val="24"/>
        </w:rPr>
        <w:t>鉴于本</w:t>
      </w:r>
      <w:proofErr w:type="gramEnd"/>
      <w:r>
        <w:rPr>
          <w:rFonts w:ascii="宋体" w:hAnsi="宋体" w:hint="eastAsia"/>
          <w:bCs/>
          <w:sz w:val="24"/>
          <w:szCs w:val="24"/>
        </w:rPr>
        <w:t>基金是目标ETF的联接基金，本基金的基金份额持有人可以凭所持有的本</w:t>
      </w:r>
      <w:proofErr w:type="gramStart"/>
      <w:r>
        <w:rPr>
          <w:rFonts w:ascii="宋体" w:hAnsi="宋体" w:hint="eastAsia"/>
          <w:bCs/>
          <w:sz w:val="24"/>
          <w:szCs w:val="24"/>
        </w:rPr>
        <w:t>基金基金</w:t>
      </w:r>
      <w:proofErr w:type="gramEnd"/>
      <w:r>
        <w:rPr>
          <w:rFonts w:ascii="宋体" w:hAnsi="宋体" w:hint="eastAsia"/>
          <w:bCs/>
          <w:sz w:val="24"/>
          <w:szCs w:val="24"/>
        </w:rPr>
        <w:t>份额直接出席或者委派代表出席目标ETF基金份额持有人大会并参与表决。在计算参会份额和票数时，本基金的基金份额持有人持有的享有表决权的参会份额数和表决票数为：在目标ETF基金份额持有人大会的权益登记日，本基金持有目标ETF基金份额的总数乘以该基金</w:t>
      </w:r>
      <w:r>
        <w:rPr>
          <w:rFonts w:ascii="宋体" w:hAnsi="宋体"/>
          <w:bCs/>
          <w:sz w:val="24"/>
          <w:szCs w:val="24"/>
        </w:rPr>
        <w:t>份额</w:t>
      </w:r>
      <w:r>
        <w:rPr>
          <w:rFonts w:ascii="宋体" w:hAnsi="宋体" w:hint="eastAsia"/>
          <w:bCs/>
          <w:sz w:val="24"/>
          <w:szCs w:val="24"/>
        </w:rPr>
        <w:t>持有人所持有的本</w:t>
      </w:r>
      <w:proofErr w:type="gramStart"/>
      <w:r>
        <w:rPr>
          <w:rFonts w:ascii="宋体" w:hAnsi="宋体" w:hint="eastAsia"/>
          <w:bCs/>
          <w:sz w:val="24"/>
          <w:szCs w:val="24"/>
        </w:rPr>
        <w:t>基金基金</w:t>
      </w:r>
      <w:proofErr w:type="gramEnd"/>
      <w:r>
        <w:rPr>
          <w:rFonts w:ascii="宋体" w:hAnsi="宋体" w:hint="eastAsia"/>
          <w:bCs/>
          <w:sz w:val="24"/>
          <w:szCs w:val="24"/>
        </w:rPr>
        <w:t>份额占本基金总份额的比例，计算结果按照四舍五入的方法，保留到整数位。本</w:t>
      </w:r>
      <w:proofErr w:type="gramStart"/>
      <w:r>
        <w:rPr>
          <w:rFonts w:ascii="宋体" w:hAnsi="宋体" w:hint="eastAsia"/>
          <w:bCs/>
          <w:sz w:val="24"/>
          <w:szCs w:val="24"/>
        </w:rPr>
        <w:t>基金基金</w:t>
      </w:r>
      <w:proofErr w:type="gramEnd"/>
      <w:r>
        <w:rPr>
          <w:rFonts w:ascii="宋体" w:hAnsi="宋体" w:hint="eastAsia"/>
          <w:bCs/>
          <w:sz w:val="24"/>
          <w:szCs w:val="24"/>
        </w:rPr>
        <w:t>份额折算为目标ETF后的每一参会份额和目标ETF的每一参会份额拥有平等的投票权。</w:t>
      </w:r>
    </w:p>
    <w:p w14:paraId="1A086431" w14:textId="77777777" w:rsidR="00166BB1" w:rsidRDefault="00166BB1">
      <w:pPr>
        <w:snapToGrid w:val="0"/>
        <w:spacing w:line="360" w:lineRule="auto"/>
        <w:ind w:firstLine="480"/>
        <w:rPr>
          <w:rFonts w:ascii="宋体" w:hAnsi="宋体"/>
          <w:bCs/>
          <w:sz w:val="24"/>
          <w:szCs w:val="24"/>
        </w:rPr>
      </w:pPr>
      <w:r>
        <w:rPr>
          <w:rFonts w:ascii="宋体" w:hAnsi="宋体" w:hint="eastAsia"/>
          <w:bCs/>
          <w:sz w:val="24"/>
          <w:szCs w:val="24"/>
        </w:rPr>
        <w:t>本基金的基金管理人不应以本基金的名义代表本基金的全体基金份额持有人以目标ETF的基金份额持有人的身份行使表决权，但可接受本基金的</w:t>
      </w:r>
      <w:proofErr w:type="gramStart"/>
      <w:r>
        <w:rPr>
          <w:rFonts w:ascii="宋体" w:hAnsi="宋体" w:hint="eastAsia"/>
          <w:bCs/>
          <w:sz w:val="24"/>
          <w:szCs w:val="24"/>
        </w:rPr>
        <w:t>特定基金</w:t>
      </w:r>
      <w:proofErr w:type="gramEnd"/>
      <w:r>
        <w:rPr>
          <w:rFonts w:ascii="宋体" w:hAnsi="宋体" w:hint="eastAsia"/>
          <w:bCs/>
          <w:sz w:val="24"/>
          <w:szCs w:val="24"/>
        </w:rPr>
        <w:t>份额持有人的委托以本基金的基金份额持有人代理人的身份出席目标ETF的基金份额持有人大会并参与表决。</w:t>
      </w:r>
    </w:p>
    <w:p w14:paraId="4EF87B13" w14:textId="77777777" w:rsidR="00166BB1" w:rsidRDefault="00166BB1">
      <w:pPr>
        <w:snapToGrid w:val="0"/>
        <w:spacing w:line="360" w:lineRule="auto"/>
        <w:ind w:firstLine="480"/>
        <w:rPr>
          <w:rFonts w:ascii="宋体" w:hAnsi="宋体"/>
          <w:bCs/>
          <w:sz w:val="24"/>
          <w:szCs w:val="24"/>
        </w:rPr>
      </w:pPr>
      <w:r>
        <w:rPr>
          <w:rFonts w:ascii="宋体" w:hAnsi="宋体" w:hint="eastAsia"/>
          <w:bCs/>
          <w:sz w:val="24"/>
          <w:szCs w:val="24"/>
        </w:rPr>
        <w:t>本基金的基金管理人代表本基金的基金份额持有人提议召开或召集目标ETF基金份额持有人大会的，须先遵照本基金《基金合同》的约定召开本基金的基金份额持有人大会，本基金的基金份额持有人大会决定提议召开或召集目标ETF基金份额持有人大会的，由本</w:t>
      </w:r>
      <w:proofErr w:type="gramStart"/>
      <w:r>
        <w:rPr>
          <w:rFonts w:ascii="宋体" w:hAnsi="宋体" w:hint="eastAsia"/>
          <w:bCs/>
          <w:sz w:val="24"/>
          <w:szCs w:val="24"/>
        </w:rPr>
        <w:t>基金基金</w:t>
      </w:r>
      <w:proofErr w:type="gramEnd"/>
      <w:r>
        <w:rPr>
          <w:rFonts w:ascii="宋体" w:hAnsi="宋体" w:hint="eastAsia"/>
          <w:bCs/>
          <w:sz w:val="24"/>
          <w:szCs w:val="24"/>
        </w:rPr>
        <w:t>管理人代表本基金的基金份额持有人提议召开或召集目标ETF基金份额持有人大会。</w:t>
      </w:r>
    </w:p>
    <w:p w14:paraId="2D96687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w:t>
      </w:r>
      <w:proofErr w:type="gramStart"/>
      <w:r>
        <w:rPr>
          <w:rFonts w:ascii="宋体" w:hAnsi="宋体" w:hint="eastAsia"/>
          <w:bCs/>
          <w:sz w:val="24"/>
          <w:szCs w:val="24"/>
        </w:rPr>
        <w:t>基金基金</w:t>
      </w:r>
      <w:proofErr w:type="gramEnd"/>
      <w:r>
        <w:rPr>
          <w:rFonts w:ascii="宋体" w:hAnsi="宋体" w:hint="eastAsia"/>
          <w:bCs/>
          <w:sz w:val="24"/>
          <w:szCs w:val="24"/>
        </w:rPr>
        <w:t>份额持有人大会不设日常机构。</w:t>
      </w:r>
    </w:p>
    <w:p w14:paraId="7E333C0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若将来法律法规对基金份额持有人大会另有规定的，以届时有效的法律法规为准。</w:t>
      </w:r>
    </w:p>
    <w:p w14:paraId="0E93CB37" w14:textId="77777777" w:rsidR="00166BB1" w:rsidRDefault="00166BB1">
      <w:pPr>
        <w:adjustRightInd w:val="0"/>
        <w:snapToGrid w:val="0"/>
        <w:spacing w:line="360" w:lineRule="auto"/>
        <w:ind w:firstLineChars="200" w:firstLine="480"/>
        <w:rPr>
          <w:rFonts w:ascii="宋体" w:hAnsi="宋体"/>
          <w:bCs/>
          <w:sz w:val="24"/>
          <w:szCs w:val="24"/>
        </w:rPr>
      </w:pPr>
      <w:bookmarkStart w:id="190" w:name="_Toc15641220"/>
      <w:bookmarkStart w:id="191" w:name="_Toc79392584"/>
      <w:bookmarkStart w:id="192" w:name="_Toc57530243"/>
      <w:r>
        <w:rPr>
          <w:rFonts w:ascii="宋体" w:hAnsi="宋体"/>
          <w:bCs/>
          <w:sz w:val="24"/>
          <w:szCs w:val="24"/>
        </w:rPr>
        <w:t>一、召开事由</w:t>
      </w:r>
      <w:bookmarkEnd w:id="190"/>
      <w:bookmarkEnd w:id="191"/>
      <w:bookmarkEnd w:id="192"/>
    </w:p>
    <w:p w14:paraId="56E7C6A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除法律法规、中国证监会另有规定或基金合同另有约定外，当出现或需要决定下列事由之一的，应当召开基金份额持有人大会：</w:t>
      </w:r>
    </w:p>
    <w:p w14:paraId="14BC23E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（1）终止基金合同；</w:t>
      </w:r>
    </w:p>
    <w:p w14:paraId="10B9E96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（2）更换基金管理人；</w:t>
      </w:r>
    </w:p>
    <w:p w14:paraId="473AD1E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（3）更换基金托管人；</w:t>
      </w:r>
    </w:p>
    <w:p w14:paraId="3693767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（4）转换基金运作方式；</w:t>
      </w:r>
    </w:p>
    <w:p w14:paraId="523399A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调整</w:t>
      </w:r>
      <w:r>
        <w:rPr>
          <w:rFonts w:ascii="宋体" w:hAnsi="宋体"/>
          <w:bCs/>
          <w:sz w:val="24"/>
          <w:szCs w:val="24"/>
        </w:rPr>
        <w:t>基金管理人、基金托管人的报酬标准</w:t>
      </w:r>
      <w:r>
        <w:rPr>
          <w:rFonts w:ascii="宋体" w:hAnsi="宋体" w:hint="eastAsia"/>
          <w:bCs/>
          <w:sz w:val="24"/>
          <w:szCs w:val="24"/>
        </w:rPr>
        <w:t>或调高销售服务费率</w:t>
      </w:r>
      <w:r>
        <w:rPr>
          <w:rFonts w:ascii="宋体" w:hAnsi="宋体"/>
          <w:bCs/>
          <w:sz w:val="24"/>
          <w:szCs w:val="24"/>
        </w:rPr>
        <w:t>；</w:t>
      </w:r>
    </w:p>
    <w:p w14:paraId="2099816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（6）变更基金类别；</w:t>
      </w:r>
    </w:p>
    <w:p w14:paraId="3C05B33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（7）本基金与其他基金的合并；</w:t>
      </w:r>
    </w:p>
    <w:p w14:paraId="41BA2A2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（8）变更基金投资目标、范围或策略；</w:t>
      </w:r>
    </w:p>
    <w:p w14:paraId="1DF0628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（9）变更基金份额持有人大会程序；</w:t>
      </w:r>
    </w:p>
    <w:p w14:paraId="2A00A3A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（10）基金管理人或基金托管人要求召开基金份额持有人大会；</w:t>
      </w:r>
    </w:p>
    <w:p w14:paraId="7592B92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（11）单独或合计持有本基金总份额10%以上（含10%）基金份额的基金份额持有人（以基金管理人收到提议当日的基金份额计算，下同）就同一事项书面要求召开基金份额持有人大会；</w:t>
      </w:r>
    </w:p>
    <w:p w14:paraId="18D6AAB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（12）对基金</w:t>
      </w:r>
      <w:r>
        <w:rPr>
          <w:rFonts w:ascii="宋体" w:hAnsi="宋体" w:hint="eastAsia"/>
          <w:bCs/>
          <w:sz w:val="24"/>
          <w:szCs w:val="24"/>
        </w:rPr>
        <w:t>合同</w:t>
      </w:r>
      <w:r>
        <w:rPr>
          <w:rFonts w:ascii="宋体" w:hAnsi="宋体"/>
          <w:bCs/>
          <w:sz w:val="24"/>
          <w:szCs w:val="24"/>
        </w:rPr>
        <w:t>当事人权利和义务产生重大影响的其他事项；</w:t>
      </w:r>
    </w:p>
    <w:p w14:paraId="7E6037A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（13）基金管理人代表本基金的基金份额持有人提议召开或召集目标ETF基金份额持有人大会；</w:t>
      </w:r>
    </w:p>
    <w:p w14:paraId="4C44B1B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4</w:t>
      </w:r>
      <w:r>
        <w:rPr>
          <w:rFonts w:ascii="宋体" w:hAnsi="宋体"/>
          <w:bCs/>
          <w:sz w:val="24"/>
          <w:szCs w:val="24"/>
        </w:rPr>
        <w:t>）法律法规、基金合同或中国证监会规定的其他应当召开基金份额持有人大会的事项。</w:t>
      </w:r>
    </w:p>
    <w:p w14:paraId="02630A4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在法律法规规定和基金合同约定的范围内且对基金份额持有人利益无实质性不利影响的前提下，</w:t>
      </w:r>
      <w:r>
        <w:rPr>
          <w:rFonts w:ascii="宋体" w:hAnsi="宋体"/>
          <w:bCs/>
          <w:sz w:val="24"/>
          <w:szCs w:val="24"/>
        </w:rPr>
        <w:t>以下情况可由基金管理人和基金托管人协商后修改，不需召开基金份额持有人大会：</w:t>
      </w:r>
    </w:p>
    <w:p w14:paraId="2C8F351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）法律法规要求增加的基金费用的收取；</w:t>
      </w:r>
    </w:p>
    <w:p w14:paraId="0CF49CA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w:t>
      </w:r>
      <w:r>
        <w:rPr>
          <w:rFonts w:ascii="宋体" w:hAnsi="宋体"/>
          <w:bCs/>
          <w:sz w:val="24"/>
          <w:szCs w:val="24"/>
        </w:rPr>
        <w:t>调整本基金的申购费率</w:t>
      </w:r>
      <w:r>
        <w:rPr>
          <w:rFonts w:ascii="宋体" w:hAnsi="宋体" w:hint="eastAsia"/>
          <w:bCs/>
          <w:sz w:val="24"/>
          <w:szCs w:val="24"/>
        </w:rPr>
        <w:t>，</w:t>
      </w:r>
      <w:r>
        <w:rPr>
          <w:rFonts w:ascii="宋体" w:hAnsi="宋体"/>
          <w:bCs/>
          <w:sz w:val="24"/>
          <w:szCs w:val="24"/>
        </w:rPr>
        <w:t>调低销售服务费</w:t>
      </w:r>
      <w:r>
        <w:rPr>
          <w:rFonts w:ascii="宋体" w:hAnsi="宋体" w:hint="eastAsia"/>
          <w:bCs/>
          <w:sz w:val="24"/>
          <w:szCs w:val="24"/>
        </w:rPr>
        <w:t>率，或变更收费方式、调整基金份额类别设置；</w:t>
      </w:r>
    </w:p>
    <w:p w14:paraId="1F29C53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w:t>
      </w:r>
      <w:proofErr w:type="gramStart"/>
      <w:r>
        <w:rPr>
          <w:rFonts w:ascii="宋体" w:hAnsi="宋体" w:hint="eastAsia"/>
          <w:bCs/>
          <w:sz w:val="24"/>
          <w:szCs w:val="24"/>
        </w:rPr>
        <w:t>因相应</w:t>
      </w:r>
      <w:proofErr w:type="gramEnd"/>
      <w:r>
        <w:rPr>
          <w:rFonts w:ascii="宋体" w:hAnsi="宋体" w:hint="eastAsia"/>
          <w:bCs/>
          <w:sz w:val="24"/>
          <w:szCs w:val="24"/>
        </w:rPr>
        <w:t>的法律法规发生变动而应当对基金合同进行修改；</w:t>
      </w:r>
    </w:p>
    <w:p w14:paraId="207F00E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）对基金合同的修改对基金份额持有人利益无实质性不利影响或修改不涉及基金合同当事人权利义务关系发生重大变化；</w:t>
      </w:r>
    </w:p>
    <w:p w14:paraId="435293C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）履行适当程序后，基金推出新业务或服务；</w:t>
      </w:r>
    </w:p>
    <w:p w14:paraId="51FC2EC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）基金管理人、登记机构、销售机构调整有关基金认购、申购、赎回、转换、</w:t>
      </w:r>
      <w:proofErr w:type="gramStart"/>
      <w:r>
        <w:rPr>
          <w:rFonts w:ascii="宋体" w:hAnsi="宋体" w:hint="eastAsia"/>
          <w:bCs/>
          <w:sz w:val="24"/>
          <w:szCs w:val="24"/>
        </w:rPr>
        <w:t>非交易</w:t>
      </w:r>
      <w:proofErr w:type="gramEnd"/>
      <w:r>
        <w:rPr>
          <w:rFonts w:ascii="宋体" w:hAnsi="宋体" w:hint="eastAsia"/>
          <w:bCs/>
          <w:sz w:val="24"/>
          <w:szCs w:val="24"/>
        </w:rPr>
        <w:t>过户、转托管及定期定额投资等业务的规则；</w:t>
      </w:r>
    </w:p>
    <w:p w14:paraId="529B814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）按照法律法规和《基金合同》规定不需召开基金份额持有人大会的其</w:t>
      </w:r>
      <w:r>
        <w:rPr>
          <w:rFonts w:ascii="宋体" w:hAnsi="宋体" w:hint="eastAsia"/>
          <w:bCs/>
          <w:sz w:val="24"/>
          <w:szCs w:val="24"/>
        </w:rPr>
        <w:lastRenderedPageBreak/>
        <w:t>他情形。</w:t>
      </w:r>
    </w:p>
    <w:p w14:paraId="32BC4E3A" w14:textId="77777777" w:rsidR="00166BB1" w:rsidRDefault="00166BB1">
      <w:pPr>
        <w:adjustRightInd w:val="0"/>
        <w:snapToGrid w:val="0"/>
        <w:spacing w:line="360" w:lineRule="auto"/>
        <w:ind w:firstLineChars="200" w:firstLine="480"/>
        <w:rPr>
          <w:rFonts w:ascii="宋体" w:hAnsi="宋体"/>
          <w:bCs/>
          <w:sz w:val="24"/>
          <w:szCs w:val="24"/>
        </w:rPr>
      </w:pPr>
      <w:bookmarkStart w:id="193" w:name="_Toc79392585"/>
      <w:bookmarkStart w:id="194" w:name="_Toc15641221"/>
      <w:bookmarkStart w:id="195" w:name="_Toc57530244"/>
      <w:r>
        <w:rPr>
          <w:rFonts w:ascii="宋体" w:hAnsi="宋体"/>
          <w:bCs/>
          <w:sz w:val="24"/>
          <w:szCs w:val="24"/>
        </w:rPr>
        <w:t>二、会议召集人及召集方式</w:t>
      </w:r>
      <w:bookmarkEnd w:id="193"/>
      <w:bookmarkEnd w:id="194"/>
      <w:bookmarkEnd w:id="195"/>
    </w:p>
    <w:p w14:paraId="7D11C615" w14:textId="77777777" w:rsidR="00166BB1" w:rsidRDefault="00166BB1">
      <w:pPr>
        <w:adjustRightInd w:val="0"/>
        <w:snapToGrid w:val="0"/>
        <w:spacing w:line="360" w:lineRule="auto"/>
        <w:ind w:firstLineChars="200" w:firstLine="480"/>
        <w:rPr>
          <w:rFonts w:ascii="宋体" w:hAnsi="宋体"/>
          <w:bCs/>
          <w:sz w:val="24"/>
          <w:szCs w:val="24"/>
        </w:rPr>
      </w:pPr>
      <w:bookmarkStart w:id="196" w:name="_Toc15641222"/>
      <w:bookmarkStart w:id="197" w:name="_Toc57530245"/>
      <w:r>
        <w:rPr>
          <w:rFonts w:ascii="宋体" w:hAnsi="宋体"/>
          <w:bCs/>
          <w:sz w:val="24"/>
          <w:szCs w:val="24"/>
        </w:rPr>
        <w:t>1、除法律法规规定或基金合同另有约定外，基金份额持有人大会由基金管理人召集</w:t>
      </w:r>
      <w:r>
        <w:rPr>
          <w:rFonts w:ascii="宋体" w:hAnsi="宋体" w:hint="eastAsia"/>
          <w:bCs/>
          <w:sz w:val="24"/>
          <w:szCs w:val="24"/>
        </w:rPr>
        <w:t>。</w:t>
      </w:r>
    </w:p>
    <w:p w14:paraId="2DE90A9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2、基金管理人未按规定召集或不能召</w:t>
      </w:r>
      <w:r>
        <w:rPr>
          <w:rFonts w:ascii="宋体" w:hAnsi="宋体" w:hint="eastAsia"/>
          <w:bCs/>
          <w:sz w:val="24"/>
          <w:szCs w:val="24"/>
        </w:rPr>
        <w:t>集</w:t>
      </w:r>
      <w:r>
        <w:rPr>
          <w:rFonts w:ascii="宋体" w:hAnsi="宋体"/>
          <w:bCs/>
          <w:sz w:val="24"/>
          <w:szCs w:val="24"/>
        </w:rPr>
        <w:t>时，由基金托管人召集</w:t>
      </w:r>
      <w:r>
        <w:rPr>
          <w:rFonts w:ascii="宋体" w:hAnsi="宋体" w:hint="eastAsia"/>
          <w:bCs/>
          <w:sz w:val="24"/>
          <w:szCs w:val="24"/>
        </w:rPr>
        <w:t>。</w:t>
      </w:r>
    </w:p>
    <w:p w14:paraId="604913F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6E8F7F8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起60日内召开，并告知基金管理人，基金管理人应当配合。</w:t>
      </w:r>
    </w:p>
    <w:p w14:paraId="121D7DD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5、代表基金份额</w:t>
      </w:r>
      <w:r>
        <w:rPr>
          <w:rFonts w:ascii="宋体" w:hAnsi="宋体" w:hint="eastAsia"/>
          <w:bCs/>
          <w:sz w:val="24"/>
          <w:szCs w:val="24"/>
        </w:rPr>
        <w:t>10%</w:t>
      </w:r>
      <w:r>
        <w:rPr>
          <w:rFonts w:ascii="宋体" w:hAnsi="宋体"/>
          <w:bCs/>
          <w:sz w:val="24"/>
          <w:szCs w:val="24"/>
        </w:rPr>
        <w:t>以上（含</w:t>
      </w:r>
      <w:r>
        <w:rPr>
          <w:rFonts w:ascii="宋体" w:hAnsi="宋体" w:hint="eastAsia"/>
          <w:bCs/>
          <w:sz w:val="24"/>
          <w:szCs w:val="24"/>
        </w:rPr>
        <w:t>10%</w:t>
      </w:r>
      <w:r>
        <w:rPr>
          <w:rFonts w:ascii="宋体" w:hAnsi="宋体"/>
          <w:bCs/>
          <w:sz w:val="24"/>
          <w:szCs w:val="24"/>
        </w:rPr>
        <w:t>）的基金份额持有人就同一事项要求召开基金份额持有人大会，而基金管理人、基金托管人都不召集的，单独或合计代表基金份额</w:t>
      </w:r>
      <w:r>
        <w:rPr>
          <w:rFonts w:ascii="宋体" w:hAnsi="宋体" w:hint="eastAsia"/>
          <w:bCs/>
          <w:sz w:val="24"/>
          <w:szCs w:val="24"/>
        </w:rPr>
        <w:t>10%</w:t>
      </w:r>
      <w:r>
        <w:rPr>
          <w:rFonts w:ascii="宋体" w:hAnsi="宋体"/>
          <w:bCs/>
          <w:sz w:val="24"/>
          <w:szCs w:val="24"/>
        </w:rPr>
        <w:t>以上（含</w:t>
      </w:r>
      <w:r>
        <w:rPr>
          <w:rFonts w:ascii="宋体" w:hAnsi="宋体" w:hint="eastAsia"/>
          <w:bCs/>
          <w:sz w:val="24"/>
          <w:szCs w:val="24"/>
        </w:rPr>
        <w:t>10%</w:t>
      </w:r>
      <w:r>
        <w:rPr>
          <w:rFonts w:ascii="宋体" w:hAnsi="宋体"/>
          <w:bCs/>
          <w:sz w:val="24"/>
          <w:szCs w:val="24"/>
        </w:rPr>
        <w:t>）的基金份额持有人有权自行召集，并至少提前30日报中国证监会备案。基金份额持有人依法自行召集基金份额持有人大会的，基金管理人、基金托管人应当配合，不得阻碍、干扰。</w:t>
      </w:r>
    </w:p>
    <w:p w14:paraId="1070B84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6、基金份额持有人会议的召集人负责选择确定开会时间、地点、方式和权益登记日。</w:t>
      </w:r>
    </w:p>
    <w:p w14:paraId="4F5A7793" w14:textId="77777777" w:rsidR="00166BB1" w:rsidRDefault="00166BB1">
      <w:pPr>
        <w:adjustRightInd w:val="0"/>
        <w:snapToGrid w:val="0"/>
        <w:spacing w:line="360" w:lineRule="auto"/>
        <w:ind w:firstLineChars="200" w:firstLine="480"/>
        <w:rPr>
          <w:rFonts w:ascii="宋体" w:hAnsi="宋体"/>
          <w:bCs/>
          <w:sz w:val="24"/>
          <w:szCs w:val="24"/>
        </w:rPr>
      </w:pPr>
      <w:bookmarkStart w:id="198" w:name="_Toc79392586"/>
      <w:r>
        <w:rPr>
          <w:rFonts w:ascii="宋体" w:hAnsi="宋体"/>
          <w:bCs/>
          <w:sz w:val="24"/>
          <w:szCs w:val="24"/>
        </w:rPr>
        <w:t>三、召开基金份额持有人大会的通知时间、通知内容、通知方式</w:t>
      </w:r>
      <w:bookmarkEnd w:id="196"/>
      <w:bookmarkEnd w:id="197"/>
      <w:bookmarkEnd w:id="198"/>
    </w:p>
    <w:p w14:paraId="5CAA1EF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1、召开基金份额持有人大会，召集人应于会议召开前30日，在规定媒介公告。基金份额持有人大会通知应至少载明以下内容：</w:t>
      </w:r>
    </w:p>
    <w:p w14:paraId="0571C38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（1）会议召开的时间、地点和会议形式；</w:t>
      </w:r>
    </w:p>
    <w:p w14:paraId="7867639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（2）会议</w:t>
      </w:r>
      <w:proofErr w:type="gramStart"/>
      <w:r>
        <w:rPr>
          <w:rFonts w:ascii="宋体" w:hAnsi="宋体"/>
          <w:bCs/>
          <w:sz w:val="24"/>
          <w:szCs w:val="24"/>
        </w:rPr>
        <w:t>拟审议</w:t>
      </w:r>
      <w:proofErr w:type="gramEnd"/>
      <w:r>
        <w:rPr>
          <w:rFonts w:ascii="宋体" w:hAnsi="宋体"/>
          <w:bCs/>
          <w:sz w:val="24"/>
          <w:szCs w:val="24"/>
        </w:rPr>
        <w:t>的事项、议事程序和表决方式；</w:t>
      </w:r>
    </w:p>
    <w:p w14:paraId="3165801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（3）有权出席基金份额持有人大会的基金份额持有人的权益登记日；</w:t>
      </w:r>
    </w:p>
    <w:p w14:paraId="1DF0989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（4）授权委托证明的内容要求（包括但不限于代理人身份，代理权限和代理有效期限等）、送达时间和地点</w:t>
      </w:r>
      <w:r>
        <w:rPr>
          <w:rFonts w:ascii="宋体" w:hAnsi="宋体" w:hint="eastAsia"/>
          <w:bCs/>
          <w:sz w:val="24"/>
          <w:szCs w:val="24"/>
        </w:rPr>
        <w:t>；</w:t>
      </w:r>
    </w:p>
    <w:p w14:paraId="321B0B0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（5）会务常设联系人姓名及联系电话；</w:t>
      </w:r>
    </w:p>
    <w:p w14:paraId="52832FD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（6）出席会议者必须准备的文件和必须履行的手续；</w:t>
      </w:r>
    </w:p>
    <w:p w14:paraId="0DCFF1B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（7）召集人需要通知的其他事项。</w:t>
      </w:r>
    </w:p>
    <w:p w14:paraId="7D79282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2、采取通讯开会方式并进行表决的情况下，由会议召集人决定在会议通知中说明本次基金份额持有人大会所采取的具体通讯方式、委托的公证机关及其联系方式和联系人、表决意见提交的截止时间和收取方式。</w:t>
      </w:r>
    </w:p>
    <w:p w14:paraId="2C05B01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w:t>
      </w:r>
      <w:proofErr w:type="gramStart"/>
      <w:r>
        <w:rPr>
          <w:rFonts w:ascii="宋体" w:hAnsi="宋体" w:hint="eastAsia"/>
          <w:bCs/>
          <w:sz w:val="24"/>
          <w:szCs w:val="24"/>
        </w:rPr>
        <w:t>拒不派</w:t>
      </w:r>
      <w:proofErr w:type="gramEnd"/>
      <w:r>
        <w:rPr>
          <w:rFonts w:ascii="宋体" w:hAnsi="宋体" w:hint="eastAsia"/>
          <w:bCs/>
          <w:sz w:val="24"/>
          <w:szCs w:val="24"/>
        </w:rPr>
        <w:t>代表对表决意见的计票进行监督的，不影响表决意见的计票效力。</w:t>
      </w:r>
      <w:bookmarkStart w:id="199" w:name="_Toc15641223"/>
      <w:bookmarkStart w:id="200" w:name="_Toc57530246"/>
      <w:bookmarkStart w:id="201" w:name="_Toc79392587"/>
    </w:p>
    <w:p w14:paraId="71403EA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四、基金份额持有人出席会议的方式</w:t>
      </w:r>
      <w:bookmarkEnd w:id="199"/>
      <w:bookmarkEnd w:id="200"/>
      <w:bookmarkEnd w:id="201"/>
    </w:p>
    <w:p w14:paraId="48AFD17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基金份额持有人大会可通过现场开会方式、通讯开会方式或法律法规、监管机构允许的其他方式召开，会议的召开方式由会议召集人确定。</w:t>
      </w:r>
    </w:p>
    <w:p w14:paraId="1C03FC4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5FF20A2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37C7C9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（2）经核对，汇总到会者出示的在权益登记日持有基金份额的凭证显示，有效的基金份额不少于本基金在权益登记日基金总份额的</w:t>
      </w:r>
      <w:r>
        <w:rPr>
          <w:rFonts w:ascii="宋体" w:hAnsi="宋体"/>
          <w:bCs/>
          <w:sz w:val="24"/>
          <w:szCs w:val="24"/>
        </w:rPr>
        <w:t>二分之一</w:t>
      </w:r>
      <w:r>
        <w:rPr>
          <w:rFonts w:ascii="宋体" w:hAnsi="宋体" w:hint="eastAsia"/>
          <w:bCs/>
          <w:sz w:val="24"/>
          <w:szCs w:val="24"/>
        </w:rPr>
        <w:t>（含</w:t>
      </w:r>
      <w:r>
        <w:rPr>
          <w:rFonts w:ascii="宋体" w:hAnsi="宋体"/>
          <w:bCs/>
          <w:sz w:val="24"/>
          <w:szCs w:val="24"/>
        </w:rPr>
        <w:t>二分之一</w:t>
      </w:r>
      <w:r>
        <w:rPr>
          <w:rFonts w:ascii="宋体" w:hAnsi="宋体" w:hint="eastAsia"/>
          <w:bCs/>
          <w:sz w:val="24"/>
          <w:szCs w:val="24"/>
        </w:rPr>
        <w:t>）。若到会者在权益登记日代表的有效的基金份额少于本基金在权益登记日基</w:t>
      </w:r>
      <w:r>
        <w:rPr>
          <w:rFonts w:ascii="宋体" w:hAnsi="宋体" w:hint="eastAsia"/>
          <w:bCs/>
          <w:sz w:val="24"/>
          <w:szCs w:val="24"/>
        </w:rPr>
        <w:lastRenderedPageBreak/>
        <w:t>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39C59C4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通讯开会。通讯开会系指按照本基金合同的相关规定以召集人通知的非现场方式（包括书面、网络、电话、短信或其他方式）进行表决，基金份额持有人将其对表决事项的投票以召集人通知载明的非现场方式在表决截止日以前送达至召集人指定的地址或系统。</w:t>
      </w:r>
    </w:p>
    <w:p w14:paraId="6D0A2D2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在同时符合以下条件时，通讯开会的方式视为有效：</w:t>
      </w:r>
    </w:p>
    <w:p w14:paraId="3A743D8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（1）会议召集人按基金合同约定公布会议通知后，在</w:t>
      </w:r>
      <w:r>
        <w:rPr>
          <w:rFonts w:ascii="宋体" w:hAnsi="宋体" w:hint="eastAsia"/>
          <w:bCs/>
          <w:sz w:val="24"/>
          <w:szCs w:val="24"/>
        </w:rPr>
        <w:t>2</w:t>
      </w:r>
      <w:r>
        <w:rPr>
          <w:rFonts w:ascii="宋体" w:hAnsi="宋体"/>
          <w:bCs/>
          <w:sz w:val="24"/>
          <w:szCs w:val="24"/>
        </w:rPr>
        <w:t>个工作日内连续公布相关提示性公告；</w:t>
      </w:r>
    </w:p>
    <w:p w14:paraId="1869AC7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90A99E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基金份额持有人直接出具表决意见或授权他人代表出具表决意见；</w:t>
      </w:r>
    </w:p>
    <w:p w14:paraId="16BE83F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25D86C4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3、在不违反法律法规或监管机构规定的情况下，经会议通知载明，本基金亦可采用其他非现场方式或者以现场方式与非现场方式相结合的方式召开基金</w:t>
      </w:r>
      <w:r>
        <w:rPr>
          <w:rFonts w:ascii="宋体" w:hAnsi="宋体" w:hint="eastAsia"/>
          <w:bCs/>
          <w:sz w:val="24"/>
          <w:szCs w:val="24"/>
        </w:rPr>
        <w:lastRenderedPageBreak/>
        <w:t>份额持有人大会，会议程序比照现场开会和通讯方式开会的程序进行。基金份额持有人可以采用书面、网络、电话、短信或其他方式进行表决，具体方式由会议召集人确定并在会议通知中列明。</w:t>
      </w:r>
    </w:p>
    <w:p w14:paraId="7ABF7ED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4、基金份额持有人授权他人代为出席会议并表决的，在不违反法律法规或监管机构规定的情况下，授权方式可以采用书面、网络、电话、短信或其他方式，召集人接受的具体授权方式在会议通知中列明。</w:t>
      </w:r>
    </w:p>
    <w:p w14:paraId="1F71F924" w14:textId="77777777" w:rsidR="00166BB1" w:rsidRDefault="00166BB1">
      <w:pPr>
        <w:adjustRightInd w:val="0"/>
        <w:snapToGrid w:val="0"/>
        <w:spacing w:line="360" w:lineRule="auto"/>
        <w:ind w:firstLineChars="200" w:firstLine="480"/>
        <w:rPr>
          <w:rFonts w:ascii="宋体" w:hAnsi="宋体"/>
          <w:bCs/>
          <w:sz w:val="24"/>
          <w:szCs w:val="24"/>
        </w:rPr>
      </w:pPr>
      <w:bookmarkStart w:id="202" w:name="_Toc79392588"/>
      <w:bookmarkStart w:id="203" w:name="_Toc15641224"/>
      <w:bookmarkStart w:id="204" w:name="_Toc57530247"/>
      <w:r>
        <w:rPr>
          <w:rFonts w:ascii="宋体" w:hAnsi="宋体"/>
          <w:bCs/>
          <w:sz w:val="24"/>
          <w:szCs w:val="24"/>
        </w:rPr>
        <w:t>五、议事内容与程序</w:t>
      </w:r>
      <w:bookmarkEnd w:id="202"/>
      <w:bookmarkEnd w:id="203"/>
      <w:bookmarkEnd w:id="204"/>
    </w:p>
    <w:p w14:paraId="726F977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1、议事内容及提案权</w:t>
      </w:r>
    </w:p>
    <w:p w14:paraId="3E11C13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r>
        <w:rPr>
          <w:rFonts w:ascii="宋体" w:hAnsi="宋体" w:hint="eastAsia"/>
          <w:bCs/>
          <w:sz w:val="24"/>
          <w:szCs w:val="24"/>
        </w:rPr>
        <w:t>（但本基金合同另有约定的除外）</w:t>
      </w:r>
      <w:r>
        <w:rPr>
          <w:rFonts w:ascii="宋体" w:hAnsi="宋体"/>
          <w:bCs/>
          <w:sz w:val="24"/>
          <w:szCs w:val="24"/>
        </w:rPr>
        <w:t>。</w:t>
      </w:r>
    </w:p>
    <w:p w14:paraId="4A2D211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单独或合并持有权益登记日基金总份额10%（含10%）以上的基金份额持有人可以在基金份额持有人大会召集人发出会议通知前向大会召集人提交需由基金份额持有人大会审议表决的提案；也可以在会议通知发出后向大会召集人提交临时提案。</w:t>
      </w:r>
    </w:p>
    <w:p w14:paraId="405B09E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基金份额持有人大会的召集人发出</w:t>
      </w:r>
      <w:r>
        <w:rPr>
          <w:rFonts w:ascii="宋体" w:hAnsi="宋体" w:hint="eastAsia"/>
          <w:bCs/>
          <w:sz w:val="24"/>
          <w:szCs w:val="24"/>
        </w:rPr>
        <w:t>召集</w:t>
      </w:r>
      <w:r>
        <w:rPr>
          <w:rFonts w:ascii="宋体" w:hAnsi="宋体"/>
          <w:bCs/>
          <w:sz w:val="24"/>
          <w:szCs w:val="24"/>
        </w:rPr>
        <w:t>会议的通知后，</w:t>
      </w:r>
      <w:r>
        <w:rPr>
          <w:rFonts w:ascii="宋体" w:hAnsi="宋体" w:hint="eastAsia"/>
          <w:bCs/>
          <w:sz w:val="24"/>
          <w:szCs w:val="24"/>
        </w:rPr>
        <w:t>对原有提案的修改应当在基金份额持有人大会召开前及时公告。</w:t>
      </w:r>
    </w:p>
    <w:p w14:paraId="7F96E21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基金份额持有人大会不得对未事先公告的议事内容进行表决。</w:t>
      </w:r>
    </w:p>
    <w:p w14:paraId="5A6D698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召集人对于基金管理人、基金托管人和基金份额持有人提交的临时提案进行审核，符合条件的应当在大会召开日30天前公告。大会召集人应当按照以下原则对提案进行审核：</w:t>
      </w:r>
    </w:p>
    <w:p w14:paraId="3275FE3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73A74BB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w:t>
      </w:r>
      <w:r>
        <w:rPr>
          <w:rFonts w:ascii="宋体" w:hAnsi="宋体" w:hint="eastAsia"/>
          <w:bCs/>
          <w:sz w:val="24"/>
          <w:szCs w:val="24"/>
        </w:rPr>
        <w:lastRenderedPageBreak/>
        <w:t>人大会决定的程序进行审议。</w:t>
      </w:r>
    </w:p>
    <w:p w14:paraId="7410985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2、议事程序</w:t>
      </w:r>
    </w:p>
    <w:p w14:paraId="3BB18BB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（1）现场开会</w:t>
      </w:r>
    </w:p>
    <w:p w14:paraId="2548B46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现场开会的方式下，首先由大会主持人按照规定程序宣布会议议事程序及注意事项，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bCs/>
          <w:sz w:val="24"/>
          <w:szCs w:val="24"/>
        </w:rPr>
        <w:t>作出</w:t>
      </w:r>
      <w:proofErr w:type="gramEnd"/>
      <w:r>
        <w:rPr>
          <w:rFonts w:ascii="宋体" w:hAnsi="宋体" w:hint="eastAsia"/>
          <w:bCs/>
          <w:sz w:val="24"/>
          <w:szCs w:val="24"/>
        </w:rPr>
        <w:t>的决议的效力。</w:t>
      </w:r>
    </w:p>
    <w:p w14:paraId="713EC37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会议召集人应当制作出席会议人员的签名册。签名</w:t>
      </w:r>
      <w:proofErr w:type="gramStart"/>
      <w:r>
        <w:rPr>
          <w:rFonts w:ascii="宋体" w:hAnsi="宋体"/>
          <w:bCs/>
          <w:sz w:val="24"/>
          <w:szCs w:val="24"/>
        </w:rPr>
        <w:t>册</w:t>
      </w:r>
      <w:proofErr w:type="gramEnd"/>
      <w:r>
        <w:rPr>
          <w:rFonts w:ascii="宋体" w:hAnsi="宋体"/>
          <w:bCs/>
          <w:sz w:val="24"/>
          <w:szCs w:val="24"/>
        </w:rPr>
        <w:t>载明参加会议人员姓名（或单位名称）、身份证明文件号码、持有或代表有表决权的基金份额、委托人姓名（或单位名称）和联系方式等事项。</w:t>
      </w:r>
    </w:p>
    <w:p w14:paraId="0FDD8E7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（2）通讯开会</w:t>
      </w:r>
    </w:p>
    <w:p w14:paraId="41AF23C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在通讯开会的情况下，首先由召集人提前</w:t>
      </w:r>
      <w:r>
        <w:rPr>
          <w:rFonts w:ascii="宋体" w:hAnsi="宋体" w:hint="eastAsia"/>
          <w:bCs/>
          <w:sz w:val="24"/>
          <w:szCs w:val="24"/>
        </w:rPr>
        <w:t>30</w:t>
      </w:r>
      <w:r>
        <w:rPr>
          <w:rFonts w:ascii="宋体" w:hAnsi="宋体"/>
          <w:bCs/>
          <w:sz w:val="24"/>
          <w:szCs w:val="24"/>
        </w:rPr>
        <w:t>日公布提案，在所通知的表决截止日期后2个工作日内在公证机关监督下由召集人统计全部有效表决，在公证机关监督下形成决议。</w:t>
      </w:r>
      <w:bookmarkStart w:id="205" w:name="_Toc15641225"/>
      <w:bookmarkStart w:id="206" w:name="_Toc57530248"/>
      <w:bookmarkStart w:id="207" w:name="_Toc79392589"/>
    </w:p>
    <w:p w14:paraId="76FD4EA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六、表决</w:t>
      </w:r>
      <w:bookmarkEnd w:id="205"/>
      <w:bookmarkEnd w:id="206"/>
      <w:bookmarkEnd w:id="207"/>
    </w:p>
    <w:p w14:paraId="6EBE6A8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基金份额持有人所持每份基金份额有一票表决权。</w:t>
      </w:r>
    </w:p>
    <w:p w14:paraId="1A0A8B0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基金份额持有人大会决议分为一般决议和特别决议：</w:t>
      </w:r>
    </w:p>
    <w:p w14:paraId="2183488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44815DF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特别决议，特别决议应当经参加大会的基金份额持有人或其代理人所持表决权的三分之二以上（含三分之二）通过方可做出。除法律法规、监管机构另有规定或本基金合同另有约定外，转换基金运作方式、更换基金管理人或者基金托管人、终止基金合同、本基金与其他基金合并以特别决议通过方为有效。</w:t>
      </w:r>
    </w:p>
    <w:p w14:paraId="31FEDC8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基金份额持有人大会采取记名方式进行投票表决。</w:t>
      </w:r>
    </w:p>
    <w:p w14:paraId="195EA39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采取通讯方式进行表决时，除非在计票时监督员及公证机关均认为有充分的</w:t>
      </w:r>
      <w:r>
        <w:rPr>
          <w:rFonts w:ascii="宋体" w:hAnsi="宋体" w:hint="eastAsia"/>
          <w:bCs/>
          <w:sz w:val="24"/>
          <w:szCs w:val="24"/>
        </w:rPr>
        <w:lastRenderedPageBreak/>
        <w:t>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5EB6F0C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基金份额持有人大会的各项提案或同一项提案内并列的各项议题应当分开审议、逐项表决。</w:t>
      </w:r>
    </w:p>
    <w:p w14:paraId="2B401E7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在上述规则的前提下，具体规则以召集人发布的基金份额持有人大会通知为准。</w:t>
      </w:r>
    </w:p>
    <w:p w14:paraId="55DCC392" w14:textId="77777777" w:rsidR="00166BB1" w:rsidRDefault="00166BB1">
      <w:pPr>
        <w:adjustRightInd w:val="0"/>
        <w:snapToGrid w:val="0"/>
        <w:spacing w:line="360" w:lineRule="auto"/>
        <w:ind w:firstLineChars="200" w:firstLine="480"/>
        <w:rPr>
          <w:rFonts w:ascii="宋体" w:hAnsi="宋体"/>
          <w:bCs/>
          <w:sz w:val="24"/>
          <w:szCs w:val="24"/>
        </w:rPr>
      </w:pPr>
      <w:bookmarkStart w:id="208" w:name="_Toc57530249"/>
      <w:bookmarkStart w:id="209" w:name="_Toc79392590"/>
      <w:bookmarkStart w:id="210" w:name="_Toc15641226"/>
      <w:r>
        <w:rPr>
          <w:rFonts w:ascii="宋体" w:hAnsi="宋体"/>
          <w:bCs/>
          <w:sz w:val="24"/>
          <w:szCs w:val="24"/>
        </w:rPr>
        <w:t>七、计票</w:t>
      </w:r>
      <w:bookmarkEnd w:id="208"/>
      <w:bookmarkEnd w:id="209"/>
      <w:bookmarkEnd w:id="210"/>
    </w:p>
    <w:p w14:paraId="11478EC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1、现场开会</w:t>
      </w:r>
    </w:p>
    <w:p w14:paraId="013E5BB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bCs/>
          <w:sz w:val="24"/>
          <w:szCs w:val="24"/>
        </w:rPr>
        <w:t>或大会</w:t>
      </w:r>
      <w:proofErr w:type="gramEnd"/>
      <w:r>
        <w:rPr>
          <w:rFonts w:ascii="宋体" w:hAnsi="宋体" w:hint="eastAsia"/>
          <w:bCs/>
          <w:sz w:val="24"/>
          <w:szCs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50513E0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（2）监票人应当在基金份额持有人表决后立即进行清点并由大会主持人当场公布计票结果。</w:t>
      </w:r>
    </w:p>
    <w:p w14:paraId="57C504A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（3）如果会议主持人或基金份额持有人或代理人对于提交的表决结果有异议，可以在宣布表决结果后立即对所投票</w:t>
      </w:r>
      <w:proofErr w:type="gramStart"/>
      <w:r>
        <w:rPr>
          <w:rFonts w:ascii="宋体" w:hAnsi="宋体" w:hint="eastAsia"/>
          <w:bCs/>
          <w:sz w:val="24"/>
          <w:szCs w:val="24"/>
        </w:rPr>
        <w:t>数要求</w:t>
      </w:r>
      <w:proofErr w:type="gramEnd"/>
      <w:r>
        <w:rPr>
          <w:rFonts w:ascii="宋体" w:hAnsi="宋体" w:hint="eastAsia"/>
          <w:bCs/>
          <w:sz w:val="24"/>
          <w:szCs w:val="24"/>
        </w:rPr>
        <w:t>进行重新清点。监票人应当进行重新清点，重新清点以一次为限。重新清点后，大会主持人应当当场公布重新清点结果。</w:t>
      </w:r>
    </w:p>
    <w:p w14:paraId="3C517BB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（4）计票过程应由公证机关予以公证，基金管理人或基金托管人拒不出席大会的，不影响计票的效力。</w:t>
      </w:r>
    </w:p>
    <w:p w14:paraId="1D04535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2、通讯开会</w:t>
      </w:r>
    </w:p>
    <w:p w14:paraId="49FE9A2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hint="eastAsia"/>
          <w:bCs/>
          <w:sz w:val="24"/>
          <w:szCs w:val="24"/>
        </w:rPr>
        <w:t>人拒派</w:t>
      </w:r>
      <w:proofErr w:type="gramEnd"/>
      <w:r>
        <w:rPr>
          <w:rFonts w:ascii="宋体" w:hAnsi="宋体" w:hint="eastAsia"/>
          <w:bCs/>
          <w:sz w:val="24"/>
          <w:szCs w:val="24"/>
        </w:rPr>
        <w:t>代表对表决意见的计票进行监督的，不影响计票和表决结果。</w:t>
      </w:r>
      <w:bookmarkStart w:id="211" w:name="_Toc79392591"/>
      <w:bookmarkStart w:id="212" w:name="_Toc57530250"/>
      <w:bookmarkStart w:id="213" w:name="_Toc15641227"/>
    </w:p>
    <w:p w14:paraId="476CD10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八、生效与公告</w:t>
      </w:r>
      <w:bookmarkEnd w:id="211"/>
      <w:bookmarkEnd w:id="212"/>
      <w:bookmarkEnd w:id="213"/>
    </w:p>
    <w:p w14:paraId="349C44A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基金份额持有人大会的决议，召集人应当自通过之日起</w:t>
      </w:r>
      <w:r>
        <w:rPr>
          <w:rFonts w:ascii="宋体" w:hAnsi="宋体" w:hint="eastAsia"/>
          <w:bCs/>
          <w:sz w:val="24"/>
          <w:szCs w:val="24"/>
        </w:rPr>
        <w:t>5</w:t>
      </w:r>
      <w:r>
        <w:rPr>
          <w:rFonts w:ascii="宋体" w:hAnsi="宋体"/>
          <w:bCs/>
          <w:sz w:val="24"/>
          <w:szCs w:val="24"/>
        </w:rPr>
        <w:t>日内报中国证监会备案。</w:t>
      </w:r>
    </w:p>
    <w:p w14:paraId="6A0364B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基金份额持有人大会的决议自表决通过之日起生效。</w:t>
      </w:r>
    </w:p>
    <w:p w14:paraId="1F3C498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基金份额持有人大会决议自生效之日起依照《信息披露办法》的有关规定在规定媒介上公告。</w:t>
      </w:r>
    </w:p>
    <w:p w14:paraId="66DC9F1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38D055A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九、实施</w:t>
      </w:r>
      <w:proofErr w:type="gramStart"/>
      <w:r>
        <w:rPr>
          <w:rFonts w:ascii="宋体" w:hAnsi="宋体" w:hint="eastAsia"/>
          <w:bCs/>
          <w:sz w:val="24"/>
          <w:szCs w:val="24"/>
        </w:rPr>
        <w:t>侧袋机制</w:t>
      </w:r>
      <w:proofErr w:type="gramEnd"/>
      <w:r>
        <w:rPr>
          <w:rFonts w:ascii="宋体" w:hAnsi="宋体" w:hint="eastAsia"/>
          <w:bCs/>
          <w:sz w:val="24"/>
          <w:szCs w:val="24"/>
        </w:rPr>
        <w:t>期间基金份额持有人大会的特殊约定</w:t>
      </w:r>
    </w:p>
    <w:p w14:paraId="2B71C94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若本基金</w:t>
      </w:r>
      <w:proofErr w:type="gramStart"/>
      <w:r>
        <w:rPr>
          <w:rFonts w:ascii="宋体" w:hAnsi="宋体" w:hint="eastAsia"/>
          <w:bCs/>
          <w:sz w:val="24"/>
          <w:szCs w:val="24"/>
        </w:rPr>
        <w:t>实施侧袋机制</w:t>
      </w:r>
      <w:proofErr w:type="gramEnd"/>
      <w:r>
        <w:rPr>
          <w:rFonts w:ascii="宋体" w:hAnsi="宋体" w:hint="eastAsia"/>
          <w:bCs/>
          <w:sz w:val="24"/>
          <w:szCs w:val="24"/>
        </w:rPr>
        <w:t>，</w:t>
      </w:r>
      <w:proofErr w:type="gramStart"/>
      <w:r>
        <w:rPr>
          <w:rFonts w:ascii="宋体" w:hAnsi="宋体" w:hint="eastAsia"/>
          <w:bCs/>
          <w:sz w:val="24"/>
          <w:szCs w:val="24"/>
        </w:rPr>
        <w:t>则相关</w:t>
      </w:r>
      <w:proofErr w:type="gramEnd"/>
      <w:r>
        <w:rPr>
          <w:rFonts w:ascii="宋体" w:hAnsi="宋体" w:hint="eastAsia"/>
          <w:bCs/>
          <w:sz w:val="24"/>
          <w:szCs w:val="24"/>
        </w:rPr>
        <w:t>基金份额或表决权的比例</w:t>
      </w:r>
      <w:proofErr w:type="gramStart"/>
      <w:r>
        <w:rPr>
          <w:rFonts w:ascii="宋体" w:hAnsi="宋体" w:hint="eastAsia"/>
          <w:bCs/>
          <w:sz w:val="24"/>
          <w:szCs w:val="24"/>
        </w:rPr>
        <w:t>指主袋份额</w:t>
      </w:r>
      <w:proofErr w:type="gramEnd"/>
      <w:r>
        <w:rPr>
          <w:rFonts w:ascii="宋体" w:hAnsi="宋体" w:hint="eastAsia"/>
          <w:bCs/>
          <w:sz w:val="24"/>
          <w:szCs w:val="24"/>
        </w:rPr>
        <w:t>持有</w:t>
      </w:r>
      <w:proofErr w:type="gramStart"/>
      <w:r>
        <w:rPr>
          <w:rFonts w:ascii="宋体" w:hAnsi="宋体" w:hint="eastAsia"/>
          <w:bCs/>
          <w:sz w:val="24"/>
          <w:szCs w:val="24"/>
        </w:rPr>
        <w:t>人和侧袋份额</w:t>
      </w:r>
      <w:proofErr w:type="gramEnd"/>
      <w:r>
        <w:rPr>
          <w:rFonts w:ascii="宋体" w:hAnsi="宋体" w:hint="eastAsia"/>
          <w:bCs/>
          <w:sz w:val="24"/>
          <w:szCs w:val="24"/>
        </w:rPr>
        <w:t>持有人分别持有或代表的基金份额或表决权符合该等比例，但</w:t>
      </w:r>
      <w:proofErr w:type="gramStart"/>
      <w:r>
        <w:rPr>
          <w:rFonts w:ascii="宋体" w:hAnsi="宋体" w:hint="eastAsia"/>
          <w:bCs/>
          <w:sz w:val="24"/>
          <w:szCs w:val="24"/>
        </w:rPr>
        <w:t>若相关</w:t>
      </w:r>
      <w:proofErr w:type="gramEnd"/>
      <w:r>
        <w:rPr>
          <w:rFonts w:ascii="宋体" w:hAnsi="宋体" w:hint="eastAsia"/>
          <w:bCs/>
          <w:sz w:val="24"/>
          <w:szCs w:val="24"/>
        </w:rPr>
        <w:t>基金份额持有人大会召集和审议事项不</w:t>
      </w:r>
      <w:proofErr w:type="gramStart"/>
      <w:r>
        <w:rPr>
          <w:rFonts w:ascii="宋体" w:hAnsi="宋体" w:hint="eastAsia"/>
          <w:bCs/>
          <w:sz w:val="24"/>
          <w:szCs w:val="24"/>
        </w:rPr>
        <w:t>涉及侧袋账户</w:t>
      </w:r>
      <w:proofErr w:type="gramEnd"/>
      <w:r>
        <w:rPr>
          <w:rFonts w:ascii="宋体" w:hAnsi="宋体" w:hint="eastAsia"/>
          <w:bCs/>
          <w:sz w:val="24"/>
          <w:szCs w:val="24"/>
        </w:rPr>
        <w:t>的，则仅</w:t>
      </w:r>
      <w:proofErr w:type="gramStart"/>
      <w:r>
        <w:rPr>
          <w:rFonts w:ascii="宋体" w:hAnsi="宋体" w:hint="eastAsia"/>
          <w:bCs/>
          <w:sz w:val="24"/>
          <w:szCs w:val="24"/>
        </w:rPr>
        <w:t>指主袋份额</w:t>
      </w:r>
      <w:proofErr w:type="gramEnd"/>
      <w:r>
        <w:rPr>
          <w:rFonts w:ascii="宋体" w:hAnsi="宋体" w:hint="eastAsia"/>
          <w:bCs/>
          <w:sz w:val="24"/>
          <w:szCs w:val="24"/>
        </w:rPr>
        <w:t>持有人持有或代表的基金份额或表决权符合该等比例：</w:t>
      </w:r>
    </w:p>
    <w:p w14:paraId="4743365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1、基金份额持有人行使提议权、召集权、提名权所需单独或合计代表相关基金份额10%以上（含10%）；</w:t>
      </w:r>
    </w:p>
    <w:p w14:paraId="7889162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2、现场开会的到会者在权益登记日代表的基金份额不少于本基金在权益登记</w:t>
      </w:r>
      <w:proofErr w:type="gramStart"/>
      <w:r>
        <w:rPr>
          <w:rFonts w:ascii="宋体" w:hAnsi="宋体" w:hint="eastAsia"/>
          <w:bCs/>
          <w:sz w:val="24"/>
          <w:szCs w:val="24"/>
        </w:rPr>
        <w:t>日相关</w:t>
      </w:r>
      <w:proofErr w:type="gramEnd"/>
      <w:r>
        <w:rPr>
          <w:rFonts w:ascii="宋体" w:hAnsi="宋体" w:hint="eastAsia"/>
          <w:bCs/>
          <w:sz w:val="24"/>
          <w:szCs w:val="24"/>
        </w:rPr>
        <w:t>基金份额的二分之一（含二分之一）；</w:t>
      </w:r>
    </w:p>
    <w:p w14:paraId="3E24A36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3、通讯开会的直接出具表决意见或授权他人代表出具表决意见的基金份额持有人所持有的基金份额不小于在权益登记</w:t>
      </w:r>
      <w:proofErr w:type="gramStart"/>
      <w:r>
        <w:rPr>
          <w:rFonts w:ascii="宋体" w:hAnsi="宋体" w:hint="eastAsia"/>
          <w:bCs/>
          <w:sz w:val="24"/>
          <w:szCs w:val="24"/>
        </w:rPr>
        <w:t>日相关</w:t>
      </w:r>
      <w:proofErr w:type="gramEnd"/>
      <w:r>
        <w:rPr>
          <w:rFonts w:ascii="宋体" w:hAnsi="宋体" w:hint="eastAsia"/>
          <w:bCs/>
          <w:sz w:val="24"/>
          <w:szCs w:val="24"/>
        </w:rPr>
        <w:t>基金份额的二分之一（含二分之一）；</w:t>
      </w:r>
    </w:p>
    <w:p w14:paraId="1E9C6A6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4、当参与基金份额持有人大会投票的基金份额持有人所持有的基金份额小于在权益登记</w:t>
      </w:r>
      <w:proofErr w:type="gramStart"/>
      <w:r>
        <w:rPr>
          <w:rFonts w:ascii="宋体" w:hAnsi="宋体" w:hint="eastAsia"/>
          <w:bCs/>
          <w:sz w:val="24"/>
          <w:szCs w:val="24"/>
        </w:rPr>
        <w:t>日相关</w:t>
      </w:r>
      <w:proofErr w:type="gramEnd"/>
      <w:r>
        <w:rPr>
          <w:rFonts w:ascii="宋体" w:hAnsi="宋体" w:hint="eastAsia"/>
          <w:bCs/>
          <w:sz w:val="24"/>
          <w:szCs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71AB953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5、现场开会由出席大会的基金份额持有人和代理人所持表决权的50%以上（含50%）选举产生一名基金份额持有人作为该次基金份额持有人大会的主持人；</w:t>
      </w:r>
    </w:p>
    <w:p w14:paraId="5E87381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6、一般决议须经参加大会的基金份额持有人或其代理人所持表决权的二分之一以上（含二分之一）通过；</w:t>
      </w:r>
    </w:p>
    <w:p w14:paraId="04809D1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7、特别决议应当经参加大会的基金份额持有人或其代理人所持表决权的三分之二以上（含三分之二）通过。</w:t>
      </w:r>
    </w:p>
    <w:p w14:paraId="5517F63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同</w:t>
      </w:r>
      <w:proofErr w:type="gramStart"/>
      <w:r>
        <w:rPr>
          <w:rFonts w:ascii="宋体" w:hAnsi="宋体" w:hint="eastAsia"/>
          <w:bCs/>
          <w:sz w:val="24"/>
          <w:szCs w:val="24"/>
        </w:rPr>
        <w:t>一主侧袋账户</w:t>
      </w:r>
      <w:proofErr w:type="gramEnd"/>
      <w:r>
        <w:rPr>
          <w:rFonts w:ascii="宋体" w:hAnsi="宋体" w:hint="eastAsia"/>
          <w:bCs/>
          <w:sz w:val="24"/>
          <w:szCs w:val="24"/>
        </w:rPr>
        <w:t>内的每份基金份额具有平等的表决权。</w:t>
      </w:r>
    </w:p>
    <w:p w14:paraId="134D7AE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十、本部</w:t>
      </w:r>
      <w:proofErr w:type="gramStart"/>
      <w:r>
        <w:rPr>
          <w:rFonts w:ascii="宋体" w:hAnsi="宋体" w:hint="eastAsia"/>
          <w:bCs/>
          <w:sz w:val="24"/>
          <w:szCs w:val="24"/>
        </w:rPr>
        <w:t>分关于</w:t>
      </w:r>
      <w:proofErr w:type="gramEnd"/>
      <w:r>
        <w:rPr>
          <w:rFonts w:ascii="宋体" w:hAnsi="宋体" w:hint="eastAsia"/>
          <w:bCs/>
          <w:sz w:val="24"/>
          <w:szCs w:val="24"/>
        </w:rPr>
        <w:t>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1E71422B" w14:textId="77777777" w:rsidR="00166BB1" w:rsidRDefault="00166BB1">
      <w:pPr>
        <w:pStyle w:val="1"/>
        <w:spacing w:before="0" w:after="0"/>
        <w:jc w:val="center"/>
        <w:rPr>
          <w:rFonts w:ascii="Times New Roman"/>
          <w:color w:val="auto"/>
          <w:sz w:val="32"/>
        </w:rPr>
      </w:pPr>
      <w:bookmarkStart w:id="214" w:name="_Toc1745"/>
      <w:bookmarkStart w:id="215" w:name="_Toc3963"/>
      <w:r>
        <w:rPr>
          <w:rFonts w:hAnsi="宋体"/>
          <w:bCs/>
          <w:color w:val="auto"/>
          <w:szCs w:val="24"/>
        </w:rPr>
        <w:br w:type="page"/>
      </w:r>
      <w:bookmarkStart w:id="216" w:name="_Toc10398"/>
      <w:bookmarkStart w:id="217" w:name="_Toc31821"/>
      <w:bookmarkStart w:id="218" w:name="_Toc89430564"/>
      <w:bookmarkStart w:id="219" w:name="_Toc123112237"/>
      <w:bookmarkStart w:id="220" w:name="_Toc18206"/>
      <w:bookmarkStart w:id="221" w:name="_Toc16164"/>
      <w:bookmarkStart w:id="222" w:name="_Toc141703889"/>
      <w:bookmarkStart w:id="223" w:name="_Toc531676876"/>
      <w:bookmarkStart w:id="224" w:name="_Toc139991739"/>
      <w:bookmarkStart w:id="225" w:name="_Toc98560355"/>
      <w:bookmarkStart w:id="226" w:name="_Toc725"/>
      <w:bookmarkStart w:id="227" w:name="_Toc3080"/>
      <w:bookmarkStart w:id="228" w:name="_Toc123102456"/>
      <w:bookmarkStart w:id="229" w:name="_Toc3572"/>
      <w:bookmarkStart w:id="230" w:name="_Toc123051455"/>
      <w:bookmarkStart w:id="231" w:name="_Toc21735"/>
      <w:r>
        <w:rPr>
          <w:rFonts w:ascii="Times New Roman"/>
          <w:color w:val="auto"/>
          <w:sz w:val="32"/>
        </w:rPr>
        <w:lastRenderedPageBreak/>
        <w:t>第</w:t>
      </w:r>
      <w:r>
        <w:rPr>
          <w:rFonts w:ascii="Times New Roman" w:hint="eastAsia"/>
          <w:color w:val="auto"/>
          <w:sz w:val="32"/>
        </w:rPr>
        <w:t>九</w:t>
      </w:r>
      <w:r>
        <w:rPr>
          <w:rFonts w:ascii="Times New Roman"/>
          <w:color w:val="auto"/>
          <w:sz w:val="32"/>
        </w:rPr>
        <w:t>部分</w:t>
      </w:r>
      <w:r>
        <w:rPr>
          <w:rFonts w:ascii="Times New Roman" w:hint="eastAsia"/>
          <w:color w:val="auto"/>
          <w:sz w:val="32"/>
        </w:rPr>
        <w:t xml:space="preserve">  </w:t>
      </w:r>
      <w:r>
        <w:rPr>
          <w:rFonts w:ascii="Times New Roman"/>
          <w:color w:val="auto"/>
          <w:sz w:val="32"/>
        </w:rPr>
        <w:t>基金管理人、基金托管人的更换条件和程序</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p>
    <w:p w14:paraId="7A043952" w14:textId="77777777" w:rsidR="00166BB1" w:rsidRDefault="00166BB1">
      <w:pPr>
        <w:autoSpaceDE w:val="0"/>
        <w:autoSpaceDN w:val="0"/>
        <w:spacing w:line="360" w:lineRule="auto"/>
        <w:textAlignment w:val="bottom"/>
        <w:rPr>
          <w:bCs/>
          <w:sz w:val="24"/>
        </w:rPr>
      </w:pPr>
      <w:bookmarkStart w:id="232" w:name="_Toc79392593"/>
      <w:bookmarkStart w:id="233" w:name="_Toc15118245"/>
      <w:bookmarkStart w:id="234" w:name="_Toc57530252"/>
    </w:p>
    <w:p w14:paraId="0F17E67E"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一、基金管理人和基金托管人职责终止的情形</w:t>
      </w:r>
      <w:bookmarkEnd w:id="232"/>
      <w:bookmarkEnd w:id="233"/>
      <w:bookmarkEnd w:id="234"/>
    </w:p>
    <w:p w14:paraId="22F2323D" w14:textId="77777777" w:rsidR="00166BB1" w:rsidRDefault="00166BB1">
      <w:pPr>
        <w:adjustRightInd w:val="0"/>
        <w:snapToGrid w:val="0"/>
        <w:spacing w:line="360" w:lineRule="auto"/>
        <w:ind w:firstLineChars="200" w:firstLine="480"/>
        <w:rPr>
          <w:rFonts w:ascii="宋体" w:hAnsi="宋体"/>
          <w:bCs/>
          <w:sz w:val="24"/>
        </w:rPr>
      </w:pPr>
      <w:bookmarkStart w:id="235" w:name="_Toc22005971"/>
      <w:r>
        <w:rPr>
          <w:rFonts w:ascii="宋体" w:hAnsi="宋体"/>
          <w:bCs/>
          <w:sz w:val="24"/>
        </w:rPr>
        <w:t>（一）基金管理人职责终止的情形</w:t>
      </w:r>
      <w:bookmarkEnd w:id="235"/>
    </w:p>
    <w:p w14:paraId="407E060F"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有下列情形之一的，基金管理人职责终止：</w:t>
      </w:r>
    </w:p>
    <w:p w14:paraId="3DBB3442"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1、被依法取消基金管理资格；</w:t>
      </w:r>
    </w:p>
    <w:p w14:paraId="51D09467"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2、被基金份额持有人大会解任；</w:t>
      </w:r>
    </w:p>
    <w:p w14:paraId="49DA17BF"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3、依法解散、被依法撤销或被依法宣告破产；</w:t>
      </w:r>
    </w:p>
    <w:p w14:paraId="4ECDDC8B"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法律法规及中国证监会规定的和基金合同约定的其他</w:t>
      </w:r>
      <w:r>
        <w:rPr>
          <w:rFonts w:ascii="宋体" w:hAnsi="宋体"/>
          <w:bCs/>
          <w:sz w:val="24"/>
        </w:rPr>
        <w:t>情形。</w:t>
      </w:r>
    </w:p>
    <w:p w14:paraId="4A929863" w14:textId="77777777" w:rsidR="00166BB1" w:rsidRDefault="00166BB1">
      <w:pPr>
        <w:adjustRightInd w:val="0"/>
        <w:snapToGrid w:val="0"/>
        <w:spacing w:line="360" w:lineRule="auto"/>
        <w:ind w:firstLineChars="200" w:firstLine="480"/>
        <w:rPr>
          <w:rFonts w:ascii="宋体" w:hAnsi="宋体"/>
          <w:bCs/>
          <w:sz w:val="24"/>
        </w:rPr>
      </w:pPr>
      <w:bookmarkStart w:id="236" w:name="_Toc22005972"/>
      <w:r>
        <w:rPr>
          <w:rFonts w:ascii="宋体" w:hAnsi="宋体"/>
          <w:bCs/>
          <w:sz w:val="24"/>
        </w:rPr>
        <w:t>（二）基金托管人职责终止的情形</w:t>
      </w:r>
      <w:bookmarkEnd w:id="236"/>
    </w:p>
    <w:p w14:paraId="74ECEA46"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有下列情形之一的，基金托管人职责终止：</w:t>
      </w:r>
    </w:p>
    <w:p w14:paraId="3FE4773E"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1、被依法取消基金托管资格；</w:t>
      </w:r>
    </w:p>
    <w:p w14:paraId="3ABF4A15"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2、被基金份额持有人大会解任；</w:t>
      </w:r>
    </w:p>
    <w:p w14:paraId="5789E92F"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3、依法解散、被依法撤销或被依法宣告破产；</w:t>
      </w:r>
    </w:p>
    <w:p w14:paraId="60C39CF1"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法律法规及中国证监会规定的和基金合同约定的其他</w:t>
      </w:r>
      <w:r>
        <w:rPr>
          <w:rFonts w:ascii="宋体" w:hAnsi="宋体"/>
          <w:bCs/>
          <w:sz w:val="24"/>
        </w:rPr>
        <w:t>情形。</w:t>
      </w:r>
    </w:p>
    <w:p w14:paraId="4B68C6D5" w14:textId="77777777" w:rsidR="00166BB1" w:rsidRDefault="00166BB1">
      <w:pPr>
        <w:adjustRightInd w:val="0"/>
        <w:snapToGrid w:val="0"/>
        <w:spacing w:line="360" w:lineRule="auto"/>
        <w:ind w:firstLineChars="200" w:firstLine="480"/>
        <w:rPr>
          <w:rFonts w:ascii="宋体" w:hAnsi="宋体"/>
          <w:bCs/>
          <w:sz w:val="24"/>
        </w:rPr>
      </w:pPr>
      <w:bookmarkStart w:id="237" w:name="_Toc79392594"/>
      <w:bookmarkStart w:id="238" w:name="_Toc15118246"/>
      <w:bookmarkStart w:id="239" w:name="_Toc57530253"/>
      <w:r>
        <w:rPr>
          <w:rFonts w:ascii="宋体" w:hAnsi="宋体"/>
          <w:bCs/>
          <w:sz w:val="24"/>
        </w:rPr>
        <w:t>二、基金管理人和基金托管人的更换程序</w:t>
      </w:r>
      <w:bookmarkEnd w:id="237"/>
      <w:bookmarkEnd w:id="238"/>
      <w:bookmarkEnd w:id="239"/>
    </w:p>
    <w:p w14:paraId="0DA0A7D5" w14:textId="77777777" w:rsidR="00166BB1" w:rsidRDefault="00166BB1">
      <w:pPr>
        <w:adjustRightInd w:val="0"/>
        <w:snapToGrid w:val="0"/>
        <w:spacing w:line="360" w:lineRule="auto"/>
        <w:ind w:firstLineChars="200" w:firstLine="480"/>
        <w:rPr>
          <w:rFonts w:ascii="宋体" w:hAnsi="宋体"/>
          <w:bCs/>
          <w:sz w:val="24"/>
        </w:rPr>
      </w:pPr>
      <w:bookmarkStart w:id="240" w:name="_Toc22005974"/>
      <w:r>
        <w:rPr>
          <w:rFonts w:ascii="宋体" w:hAnsi="宋体"/>
          <w:bCs/>
          <w:sz w:val="24"/>
        </w:rPr>
        <w:t>（一）基金管理人的更换程序</w:t>
      </w:r>
      <w:bookmarkEnd w:id="240"/>
    </w:p>
    <w:p w14:paraId="675350AC"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1、提名：</w:t>
      </w:r>
      <w:proofErr w:type="gramStart"/>
      <w:r>
        <w:rPr>
          <w:rFonts w:ascii="宋体" w:hAnsi="宋体"/>
          <w:bCs/>
          <w:sz w:val="24"/>
        </w:rPr>
        <w:t>新任基金</w:t>
      </w:r>
      <w:proofErr w:type="gramEnd"/>
      <w:r>
        <w:rPr>
          <w:rFonts w:ascii="宋体" w:hAnsi="宋体"/>
          <w:bCs/>
          <w:sz w:val="24"/>
        </w:rPr>
        <w:t>管理人由基金托管人或由单独或合计持有</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）基金份额的基金份额持有人提名；</w:t>
      </w:r>
    </w:p>
    <w:p w14:paraId="024ABC77"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决议：基金份额持有人大会在基金管理人职责终止后6个月内对被提名的基金管理人形成决议，该决议需经参加大会的基金份额持有人所持表决权的三分之二以上（含三分之二）表决通过，决议自表决通过之日起生效；</w:t>
      </w:r>
    </w:p>
    <w:p w14:paraId="082CDCE1"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3、临时基金管理人：</w:t>
      </w:r>
      <w:proofErr w:type="gramStart"/>
      <w:r>
        <w:rPr>
          <w:rFonts w:ascii="宋体" w:hAnsi="宋体"/>
          <w:bCs/>
          <w:sz w:val="24"/>
        </w:rPr>
        <w:t>新任基金</w:t>
      </w:r>
      <w:proofErr w:type="gramEnd"/>
      <w:r>
        <w:rPr>
          <w:rFonts w:ascii="宋体" w:hAnsi="宋体"/>
          <w:bCs/>
          <w:sz w:val="24"/>
        </w:rPr>
        <w:t>管理人产生之前，由中国证监会指定临时基金管理人；</w:t>
      </w:r>
    </w:p>
    <w:p w14:paraId="3C224755"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4、备案：基金份额持有人大会更换基金管理人的决议须报中国证监会备案；</w:t>
      </w:r>
    </w:p>
    <w:p w14:paraId="0A175D11"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5、公告：基金管理人更换后，由基金托管人在更换基金管理人的基金份额持有人大会决议生效后依照《信息披露办法》的有关规定在规定媒介公告；</w:t>
      </w:r>
    </w:p>
    <w:p w14:paraId="3D5A0D86"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6、交接：基金管理人职责终止的，基金管理人应妥善保管基金管理业务资料，及时向临时基金管理人或</w:t>
      </w:r>
      <w:proofErr w:type="gramStart"/>
      <w:r>
        <w:rPr>
          <w:rFonts w:ascii="宋体" w:hAnsi="宋体" w:hint="eastAsia"/>
          <w:bCs/>
          <w:sz w:val="24"/>
        </w:rPr>
        <w:t>新任基金</w:t>
      </w:r>
      <w:proofErr w:type="gramEnd"/>
      <w:r>
        <w:rPr>
          <w:rFonts w:ascii="宋体" w:hAnsi="宋体" w:hint="eastAsia"/>
          <w:bCs/>
          <w:sz w:val="24"/>
        </w:rPr>
        <w:t>管理人办理基金管理业务的移交手续，临</w:t>
      </w:r>
      <w:r>
        <w:rPr>
          <w:rFonts w:ascii="宋体" w:hAnsi="宋体" w:hint="eastAsia"/>
          <w:bCs/>
          <w:sz w:val="24"/>
        </w:rPr>
        <w:lastRenderedPageBreak/>
        <w:t>时基金管理人或</w:t>
      </w:r>
      <w:proofErr w:type="gramStart"/>
      <w:r>
        <w:rPr>
          <w:rFonts w:ascii="宋体" w:hAnsi="宋体" w:hint="eastAsia"/>
          <w:bCs/>
          <w:sz w:val="24"/>
        </w:rPr>
        <w:t>新任基金</w:t>
      </w:r>
      <w:proofErr w:type="gramEnd"/>
      <w:r>
        <w:rPr>
          <w:rFonts w:ascii="宋体" w:hAnsi="宋体" w:hint="eastAsia"/>
          <w:bCs/>
          <w:sz w:val="24"/>
        </w:rPr>
        <w:t>管理人应及时接收。临时基金管理人或</w:t>
      </w:r>
      <w:proofErr w:type="gramStart"/>
      <w:r>
        <w:rPr>
          <w:rFonts w:ascii="宋体" w:hAnsi="宋体" w:hint="eastAsia"/>
          <w:bCs/>
          <w:sz w:val="24"/>
        </w:rPr>
        <w:t>新任基金</w:t>
      </w:r>
      <w:proofErr w:type="gramEnd"/>
      <w:r>
        <w:rPr>
          <w:rFonts w:ascii="宋体" w:hAnsi="宋体" w:hint="eastAsia"/>
          <w:bCs/>
          <w:sz w:val="24"/>
        </w:rPr>
        <w:t>管理人应与基金托管人核对基金资产总值和净值；</w:t>
      </w:r>
    </w:p>
    <w:p w14:paraId="42C597EF"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7、审计：基金管理人职责终止的，应当按照法律法规规定聘请会计师事务所对基金财产进行审计，并将审计结果予以公告，同时报中国证监会备案；审计费用由基金资产承担；</w:t>
      </w:r>
    </w:p>
    <w:p w14:paraId="316285E4"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8、基金名称变更：基金管理人更换后，如果原任或</w:t>
      </w:r>
      <w:proofErr w:type="gramStart"/>
      <w:r>
        <w:rPr>
          <w:rFonts w:ascii="宋体" w:hAnsi="宋体"/>
          <w:bCs/>
          <w:sz w:val="24"/>
        </w:rPr>
        <w:t>新任基金</w:t>
      </w:r>
      <w:proofErr w:type="gramEnd"/>
      <w:r>
        <w:rPr>
          <w:rFonts w:ascii="宋体" w:hAnsi="宋体"/>
          <w:bCs/>
          <w:sz w:val="24"/>
        </w:rPr>
        <w:t>管理人要求，应按其要求替换或删除基金名称中与原任基金管理人有关的名称字样。</w:t>
      </w:r>
    </w:p>
    <w:p w14:paraId="2BB73C0B" w14:textId="77777777" w:rsidR="00166BB1" w:rsidRDefault="00166BB1">
      <w:pPr>
        <w:adjustRightInd w:val="0"/>
        <w:snapToGrid w:val="0"/>
        <w:spacing w:line="360" w:lineRule="auto"/>
        <w:ind w:firstLineChars="200" w:firstLine="480"/>
        <w:rPr>
          <w:rFonts w:ascii="宋体" w:hAnsi="宋体"/>
          <w:bCs/>
          <w:sz w:val="24"/>
        </w:rPr>
      </w:pPr>
      <w:bookmarkStart w:id="241" w:name="_Toc22005975"/>
      <w:r>
        <w:rPr>
          <w:rFonts w:ascii="宋体" w:hAnsi="宋体"/>
          <w:bCs/>
          <w:sz w:val="24"/>
        </w:rPr>
        <w:t>（二）基金托管人的更换程序</w:t>
      </w:r>
      <w:bookmarkEnd w:id="241"/>
    </w:p>
    <w:p w14:paraId="2F873F06"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1、提名：</w:t>
      </w:r>
      <w:proofErr w:type="gramStart"/>
      <w:r>
        <w:rPr>
          <w:rFonts w:ascii="宋体" w:hAnsi="宋体"/>
          <w:bCs/>
          <w:sz w:val="24"/>
        </w:rPr>
        <w:t>新任基金</w:t>
      </w:r>
      <w:proofErr w:type="gramEnd"/>
      <w:r>
        <w:rPr>
          <w:rFonts w:ascii="宋体" w:hAnsi="宋体"/>
          <w:bCs/>
          <w:sz w:val="24"/>
        </w:rPr>
        <w:t>托管人由基金管理人或由单独或合计持有</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）基金份额的基金</w:t>
      </w:r>
      <w:r>
        <w:rPr>
          <w:rFonts w:ascii="宋体" w:hAnsi="宋体" w:hint="eastAsia"/>
          <w:bCs/>
          <w:sz w:val="24"/>
        </w:rPr>
        <w:t>份额</w:t>
      </w:r>
      <w:r>
        <w:rPr>
          <w:rFonts w:ascii="宋体" w:hAnsi="宋体"/>
          <w:bCs/>
          <w:sz w:val="24"/>
        </w:rPr>
        <w:t>持有人提名；</w:t>
      </w:r>
    </w:p>
    <w:p w14:paraId="72899887"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2、决议：基金份额持有人大会在基金托管人职责终止后</w:t>
      </w:r>
      <w:r>
        <w:rPr>
          <w:rFonts w:ascii="宋体" w:hAnsi="宋体" w:hint="eastAsia"/>
          <w:bCs/>
          <w:sz w:val="24"/>
        </w:rPr>
        <w:t>6</w:t>
      </w:r>
      <w:r>
        <w:rPr>
          <w:rFonts w:ascii="宋体" w:hAnsi="宋体"/>
          <w:bCs/>
          <w:sz w:val="24"/>
        </w:rPr>
        <w:t>个月内对被提名的基金托管人形成决议，该决议需经参加大会的基金份额持有人所持表决权的</w:t>
      </w:r>
      <w:r>
        <w:rPr>
          <w:rFonts w:ascii="宋体" w:hAnsi="宋体" w:hint="eastAsia"/>
          <w:bCs/>
          <w:sz w:val="24"/>
        </w:rPr>
        <w:t>三分之二</w:t>
      </w:r>
      <w:r>
        <w:rPr>
          <w:rFonts w:ascii="宋体" w:hAnsi="宋体"/>
          <w:bCs/>
          <w:sz w:val="24"/>
        </w:rPr>
        <w:t>以上（含</w:t>
      </w:r>
      <w:r>
        <w:rPr>
          <w:rFonts w:ascii="宋体" w:hAnsi="宋体" w:hint="eastAsia"/>
          <w:bCs/>
          <w:sz w:val="24"/>
        </w:rPr>
        <w:t>三分之二</w:t>
      </w:r>
      <w:r>
        <w:rPr>
          <w:rFonts w:ascii="宋体" w:hAnsi="宋体"/>
          <w:bCs/>
          <w:sz w:val="24"/>
        </w:rPr>
        <w:t>）表决通过</w:t>
      </w:r>
      <w:r>
        <w:rPr>
          <w:rFonts w:ascii="宋体" w:hAnsi="宋体" w:hint="eastAsia"/>
          <w:bCs/>
          <w:sz w:val="24"/>
        </w:rPr>
        <w:t>，决议自表决通过之日起生效</w:t>
      </w:r>
      <w:r>
        <w:rPr>
          <w:rFonts w:ascii="宋体" w:hAnsi="宋体"/>
          <w:bCs/>
          <w:sz w:val="24"/>
        </w:rPr>
        <w:t>；</w:t>
      </w:r>
    </w:p>
    <w:p w14:paraId="23AD5A99"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3、临时基金托管人：</w:t>
      </w:r>
      <w:proofErr w:type="gramStart"/>
      <w:r>
        <w:rPr>
          <w:rFonts w:ascii="宋体" w:hAnsi="宋体"/>
          <w:bCs/>
          <w:sz w:val="24"/>
        </w:rPr>
        <w:t>新任基金</w:t>
      </w:r>
      <w:proofErr w:type="gramEnd"/>
      <w:r>
        <w:rPr>
          <w:rFonts w:ascii="宋体" w:hAnsi="宋体"/>
          <w:bCs/>
          <w:sz w:val="24"/>
        </w:rPr>
        <w:t>托管人产生之前，由中国证监会指定临时基金托管人；</w:t>
      </w:r>
    </w:p>
    <w:p w14:paraId="4C795442"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备案</w:t>
      </w:r>
      <w:r>
        <w:rPr>
          <w:rFonts w:ascii="宋体" w:hAnsi="宋体"/>
          <w:bCs/>
          <w:sz w:val="24"/>
        </w:rPr>
        <w:t>：基金份额持有人大会</w:t>
      </w:r>
      <w:r>
        <w:rPr>
          <w:rFonts w:ascii="宋体" w:hAnsi="宋体" w:hint="eastAsia"/>
          <w:bCs/>
          <w:sz w:val="24"/>
        </w:rPr>
        <w:t>更换</w:t>
      </w:r>
      <w:r>
        <w:rPr>
          <w:rFonts w:ascii="宋体" w:hAnsi="宋体"/>
          <w:bCs/>
          <w:sz w:val="24"/>
        </w:rPr>
        <w:t>基金托管人的决议须</w:t>
      </w:r>
      <w:r>
        <w:rPr>
          <w:rFonts w:ascii="宋体" w:hAnsi="宋体" w:hint="eastAsia"/>
          <w:bCs/>
          <w:sz w:val="24"/>
        </w:rPr>
        <w:t>报</w:t>
      </w:r>
      <w:r>
        <w:rPr>
          <w:rFonts w:ascii="宋体" w:hAnsi="宋体"/>
          <w:bCs/>
          <w:sz w:val="24"/>
        </w:rPr>
        <w:t>中国证监会</w:t>
      </w:r>
      <w:r>
        <w:rPr>
          <w:rFonts w:ascii="宋体" w:hAnsi="宋体" w:hint="eastAsia"/>
          <w:bCs/>
          <w:sz w:val="24"/>
        </w:rPr>
        <w:t>备案</w:t>
      </w:r>
      <w:r>
        <w:rPr>
          <w:rFonts w:ascii="宋体" w:hAnsi="宋体"/>
          <w:bCs/>
          <w:sz w:val="24"/>
        </w:rPr>
        <w:t>；</w:t>
      </w:r>
    </w:p>
    <w:p w14:paraId="65A2360D"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5、公告：基金托管人更换后，由基金管理人</w:t>
      </w:r>
      <w:r>
        <w:rPr>
          <w:rFonts w:ascii="宋体" w:hAnsi="宋体" w:hint="eastAsia"/>
          <w:bCs/>
          <w:sz w:val="24"/>
        </w:rPr>
        <w:t>在更换基金托管人的基金份额持有人大会决议生效后依照《信息披露办法》的有关规定在规定媒介公告；</w:t>
      </w:r>
    </w:p>
    <w:p w14:paraId="1B0074E8"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6、交接：基金托管人职责终止的，应当妥善保管基金财产和基金托管业务资料，及时办理基金财产和基金托管业务的移交手续，</w:t>
      </w:r>
      <w:proofErr w:type="gramStart"/>
      <w:r>
        <w:rPr>
          <w:rFonts w:ascii="宋体" w:hAnsi="宋体"/>
          <w:bCs/>
          <w:sz w:val="24"/>
        </w:rPr>
        <w:t>新任基金</w:t>
      </w:r>
      <w:proofErr w:type="gramEnd"/>
      <w:r>
        <w:rPr>
          <w:rFonts w:ascii="宋体" w:hAnsi="宋体"/>
          <w:bCs/>
          <w:sz w:val="24"/>
        </w:rPr>
        <w:t>托管人或者临时基金托管人应当及时接收。</w:t>
      </w:r>
      <w:r>
        <w:rPr>
          <w:rFonts w:ascii="宋体" w:hAnsi="宋体" w:hint="eastAsia"/>
          <w:bCs/>
          <w:sz w:val="24"/>
        </w:rPr>
        <w:t>临时基金</w:t>
      </w:r>
      <w:r>
        <w:rPr>
          <w:rFonts w:ascii="宋体" w:hAnsi="宋体"/>
          <w:bCs/>
          <w:sz w:val="24"/>
        </w:rPr>
        <w:t>托管</w:t>
      </w:r>
      <w:r>
        <w:rPr>
          <w:rFonts w:ascii="宋体" w:hAnsi="宋体" w:hint="eastAsia"/>
          <w:bCs/>
          <w:sz w:val="24"/>
        </w:rPr>
        <w:t>人或</w:t>
      </w:r>
      <w:proofErr w:type="gramStart"/>
      <w:r>
        <w:rPr>
          <w:rFonts w:ascii="宋体" w:hAnsi="宋体"/>
          <w:bCs/>
          <w:sz w:val="24"/>
        </w:rPr>
        <w:t>新任基金</w:t>
      </w:r>
      <w:proofErr w:type="gramEnd"/>
      <w:r>
        <w:rPr>
          <w:rFonts w:ascii="宋体" w:hAnsi="宋体"/>
          <w:bCs/>
          <w:sz w:val="24"/>
        </w:rPr>
        <w:t>托管人</w:t>
      </w:r>
      <w:r>
        <w:rPr>
          <w:rFonts w:ascii="宋体" w:hAnsi="宋体" w:hint="eastAsia"/>
          <w:bCs/>
          <w:sz w:val="24"/>
        </w:rPr>
        <w:t>应</w:t>
      </w:r>
      <w:r>
        <w:rPr>
          <w:rFonts w:ascii="宋体" w:hAnsi="宋体"/>
          <w:bCs/>
          <w:sz w:val="24"/>
        </w:rPr>
        <w:t>与基金管理人核对基金资产总值</w:t>
      </w:r>
      <w:r>
        <w:rPr>
          <w:rFonts w:ascii="宋体" w:hAnsi="宋体" w:hint="eastAsia"/>
          <w:bCs/>
          <w:sz w:val="24"/>
        </w:rPr>
        <w:t>和净值</w:t>
      </w:r>
      <w:r>
        <w:rPr>
          <w:rFonts w:ascii="宋体" w:hAnsi="宋体"/>
          <w:bCs/>
          <w:sz w:val="24"/>
        </w:rPr>
        <w:t>；</w:t>
      </w:r>
    </w:p>
    <w:p w14:paraId="7B919622"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7、审计：基金托管人职责终止的，应当按照法律法规规定聘请会计师事务所对基金财产进行审计，并将审计结果予以公告，同时报中国证监会备案</w:t>
      </w:r>
      <w:r>
        <w:rPr>
          <w:rFonts w:ascii="宋体" w:hAnsi="宋体" w:hint="eastAsia"/>
          <w:bCs/>
          <w:sz w:val="24"/>
        </w:rPr>
        <w:t>；审计费用由基金资产承担</w:t>
      </w:r>
      <w:r>
        <w:rPr>
          <w:rFonts w:ascii="宋体" w:hAnsi="宋体"/>
          <w:bCs/>
          <w:sz w:val="24"/>
        </w:rPr>
        <w:t>。</w:t>
      </w:r>
    </w:p>
    <w:p w14:paraId="1B399CDA" w14:textId="77777777" w:rsidR="00166BB1" w:rsidRDefault="00166BB1">
      <w:pPr>
        <w:adjustRightInd w:val="0"/>
        <w:snapToGrid w:val="0"/>
        <w:spacing w:line="360" w:lineRule="auto"/>
        <w:ind w:firstLineChars="200" w:firstLine="480"/>
        <w:rPr>
          <w:rFonts w:ascii="宋体" w:hAnsi="宋体"/>
          <w:bCs/>
          <w:sz w:val="24"/>
        </w:rPr>
      </w:pPr>
      <w:bookmarkStart w:id="242" w:name="_Toc1357"/>
      <w:r>
        <w:rPr>
          <w:rFonts w:ascii="宋体" w:hAnsi="宋体"/>
          <w:bCs/>
          <w:sz w:val="24"/>
        </w:rPr>
        <w:t>（三）基金管理人与基金托管人同时更换的条件和程序</w:t>
      </w:r>
      <w:bookmarkEnd w:id="242"/>
    </w:p>
    <w:p w14:paraId="0C430C79"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1</w:t>
      </w:r>
      <w:r>
        <w:rPr>
          <w:rFonts w:ascii="宋体" w:hAnsi="宋体" w:hint="eastAsia"/>
          <w:bCs/>
          <w:sz w:val="24"/>
        </w:rPr>
        <w:t>、</w:t>
      </w:r>
      <w:r>
        <w:rPr>
          <w:rFonts w:ascii="宋体" w:hAnsi="宋体"/>
          <w:bCs/>
          <w:sz w:val="24"/>
        </w:rPr>
        <w:t>提名：如果基金管理人和基金托管人同时更换，由单独或合计持有基金总份额</w:t>
      </w:r>
      <w:r>
        <w:rPr>
          <w:rFonts w:ascii="宋体" w:hAnsi="宋体" w:hint="eastAsia"/>
          <w:bCs/>
          <w:sz w:val="24"/>
        </w:rPr>
        <w:t>10%</w:t>
      </w:r>
      <w:r>
        <w:rPr>
          <w:rFonts w:ascii="宋体" w:hAnsi="宋体"/>
          <w:bCs/>
          <w:sz w:val="24"/>
        </w:rPr>
        <w:t>以上（含</w:t>
      </w:r>
      <w:r>
        <w:rPr>
          <w:rFonts w:ascii="宋体" w:hAnsi="宋体" w:hint="eastAsia"/>
          <w:bCs/>
          <w:sz w:val="24"/>
        </w:rPr>
        <w:t>10%</w:t>
      </w:r>
      <w:r>
        <w:rPr>
          <w:rFonts w:ascii="宋体" w:hAnsi="宋体"/>
          <w:bCs/>
          <w:sz w:val="24"/>
        </w:rPr>
        <w:t>）的基金份额持有人提名</w:t>
      </w:r>
      <w:proofErr w:type="gramStart"/>
      <w:r>
        <w:rPr>
          <w:rFonts w:ascii="宋体" w:hAnsi="宋体"/>
          <w:bCs/>
          <w:sz w:val="24"/>
        </w:rPr>
        <w:t>新</w:t>
      </w:r>
      <w:r>
        <w:rPr>
          <w:rFonts w:ascii="宋体" w:hAnsi="宋体" w:hint="eastAsia"/>
          <w:bCs/>
          <w:sz w:val="24"/>
        </w:rPr>
        <w:t>任</w:t>
      </w:r>
      <w:r>
        <w:rPr>
          <w:rFonts w:ascii="宋体" w:hAnsi="宋体"/>
          <w:bCs/>
          <w:sz w:val="24"/>
        </w:rPr>
        <w:t>基金</w:t>
      </w:r>
      <w:proofErr w:type="gramEnd"/>
      <w:r>
        <w:rPr>
          <w:rFonts w:ascii="宋体" w:hAnsi="宋体"/>
          <w:bCs/>
          <w:sz w:val="24"/>
        </w:rPr>
        <w:t>管理人和基金托管人；</w:t>
      </w:r>
    </w:p>
    <w:p w14:paraId="0342370E"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2</w:t>
      </w:r>
      <w:r>
        <w:rPr>
          <w:rFonts w:ascii="宋体" w:hAnsi="宋体" w:hint="eastAsia"/>
          <w:bCs/>
          <w:sz w:val="24"/>
        </w:rPr>
        <w:t>、</w:t>
      </w:r>
      <w:r>
        <w:rPr>
          <w:rFonts w:ascii="宋体" w:hAnsi="宋体"/>
          <w:bCs/>
          <w:sz w:val="24"/>
        </w:rPr>
        <w:t>基金管理人和基金托管人的更换分别按上述程序进行；</w:t>
      </w:r>
    </w:p>
    <w:p w14:paraId="1E46D74D"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w:t>
      </w:r>
      <w:r>
        <w:rPr>
          <w:rFonts w:ascii="宋体" w:hAnsi="宋体"/>
          <w:bCs/>
          <w:sz w:val="24"/>
        </w:rPr>
        <w:t>公告：</w:t>
      </w:r>
      <w:proofErr w:type="gramStart"/>
      <w:r>
        <w:rPr>
          <w:rFonts w:ascii="宋体" w:hAnsi="宋体"/>
          <w:bCs/>
          <w:sz w:val="24"/>
        </w:rPr>
        <w:t>新任基金</w:t>
      </w:r>
      <w:proofErr w:type="gramEnd"/>
      <w:r>
        <w:rPr>
          <w:rFonts w:ascii="宋体" w:hAnsi="宋体"/>
          <w:bCs/>
          <w:sz w:val="24"/>
        </w:rPr>
        <w:t>管理人和</w:t>
      </w:r>
      <w:proofErr w:type="gramStart"/>
      <w:r>
        <w:rPr>
          <w:rFonts w:ascii="宋体" w:hAnsi="宋体"/>
          <w:bCs/>
          <w:sz w:val="24"/>
        </w:rPr>
        <w:t>新任基金</w:t>
      </w:r>
      <w:proofErr w:type="gramEnd"/>
      <w:r>
        <w:rPr>
          <w:rFonts w:ascii="宋体" w:hAnsi="宋体"/>
          <w:bCs/>
          <w:sz w:val="24"/>
        </w:rPr>
        <w:t>托管人应在更换基金管理人和基金托</w:t>
      </w:r>
      <w:r>
        <w:rPr>
          <w:rFonts w:ascii="宋体" w:hAnsi="宋体"/>
          <w:bCs/>
          <w:sz w:val="24"/>
        </w:rPr>
        <w:lastRenderedPageBreak/>
        <w:t>管人的</w:t>
      </w:r>
      <w:r>
        <w:rPr>
          <w:rFonts w:ascii="宋体" w:hAnsi="宋体" w:hint="eastAsia"/>
          <w:bCs/>
          <w:sz w:val="24"/>
        </w:rPr>
        <w:t>基金份额持有人大会决议生效后依照《信息披露办法》的有关规定在规定媒介上联合公告。</w:t>
      </w:r>
    </w:p>
    <w:p w14:paraId="1EBE55D5"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三、新任或临时基金管理人接收基金管理业务或新任或临时基金托管人接收基金财产和基金托管业务前，原</w:t>
      </w:r>
      <w:r>
        <w:rPr>
          <w:rFonts w:ascii="宋体" w:hAnsi="宋体"/>
          <w:bCs/>
          <w:sz w:val="24"/>
        </w:rPr>
        <w:t>任</w:t>
      </w:r>
      <w:r>
        <w:rPr>
          <w:rFonts w:ascii="宋体" w:hAnsi="宋体" w:hint="eastAsia"/>
          <w:bCs/>
          <w:sz w:val="24"/>
        </w:rPr>
        <w:t>基金管理人或原</w:t>
      </w:r>
      <w:r>
        <w:rPr>
          <w:rFonts w:ascii="宋体" w:hAnsi="宋体"/>
          <w:bCs/>
          <w:sz w:val="24"/>
        </w:rPr>
        <w:t>任</w:t>
      </w:r>
      <w:r>
        <w:rPr>
          <w:rFonts w:ascii="宋体" w:hAnsi="宋体" w:hint="eastAsia"/>
          <w:bCs/>
          <w:sz w:val="24"/>
        </w:rPr>
        <w:t>基金托管人应依据法律法规和基金合同的规定继续履行相关职责，并保证不做出对基金份额持有人的利益造成损害的行为。原</w:t>
      </w:r>
      <w:r>
        <w:rPr>
          <w:rFonts w:ascii="宋体" w:hAnsi="宋体"/>
          <w:bCs/>
          <w:sz w:val="24"/>
        </w:rPr>
        <w:t>任</w:t>
      </w:r>
      <w:r>
        <w:rPr>
          <w:rFonts w:ascii="宋体" w:hAnsi="宋体" w:hint="eastAsia"/>
          <w:bCs/>
          <w:sz w:val="24"/>
        </w:rPr>
        <w:t>基金管理人或原</w:t>
      </w:r>
      <w:r>
        <w:rPr>
          <w:rFonts w:ascii="宋体" w:hAnsi="宋体"/>
          <w:bCs/>
          <w:sz w:val="24"/>
        </w:rPr>
        <w:t>任</w:t>
      </w:r>
      <w:r>
        <w:rPr>
          <w:rFonts w:ascii="宋体" w:hAnsi="宋体" w:hint="eastAsia"/>
          <w:bCs/>
          <w:sz w:val="24"/>
        </w:rPr>
        <w:t>基金托管人在继续履行相关职责期间，仍有权按照本基金合同的规定收取基金管理费或基金托管费。</w:t>
      </w:r>
    </w:p>
    <w:p w14:paraId="06EF80FB"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四、本部</w:t>
      </w:r>
      <w:proofErr w:type="gramStart"/>
      <w:r>
        <w:rPr>
          <w:rFonts w:ascii="宋体" w:hAnsi="宋体" w:hint="eastAsia"/>
          <w:bCs/>
          <w:sz w:val="24"/>
        </w:rPr>
        <w:t>分关于</w:t>
      </w:r>
      <w:proofErr w:type="gramEnd"/>
      <w:r>
        <w:rPr>
          <w:rFonts w:ascii="宋体" w:hAnsi="宋体" w:hint="eastAsia"/>
          <w:bCs/>
          <w:sz w:val="24"/>
        </w:rPr>
        <w:t>基金管理人、基金托管人更换条件和程序的约定，凡是直接引用法律法规或监管规则的部分，如法律法规或监管规则修改导致相关内容被取消或变更的，基金管理人履行适当程序后，可直接对相应内容进行修改和调整，无需召开基金份额持有人大会审议。</w:t>
      </w:r>
    </w:p>
    <w:p w14:paraId="2D33E44B" w14:textId="77777777" w:rsidR="00166BB1" w:rsidRDefault="00166BB1">
      <w:pPr>
        <w:pStyle w:val="1"/>
        <w:spacing w:before="0" w:after="0"/>
        <w:jc w:val="center"/>
        <w:rPr>
          <w:rFonts w:ascii="Times New Roman"/>
          <w:color w:val="auto"/>
          <w:sz w:val="32"/>
        </w:rPr>
      </w:pPr>
      <w:r>
        <w:rPr>
          <w:rFonts w:ascii="Times New Roman"/>
          <w:b w:val="0"/>
          <w:bCs/>
          <w:color w:val="auto"/>
          <w:kern w:val="2"/>
        </w:rPr>
        <w:br w:type="page"/>
      </w:r>
      <w:bookmarkStart w:id="243" w:name="_Toc48649708"/>
      <w:bookmarkStart w:id="244" w:name="_Toc29408"/>
      <w:bookmarkStart w:id="245" w:name="_Toc32092"/>
      <w:bookmarkStart w:id="246" w:name="_Toc123102457"/>
      <w:bookmarkStart w:id="247" w:name="_Toc32584"/>
      <w:bookmarkStart w:id="248" w:name="_Toc5170"/>
      <w:bookmarkStart w:id="249" w:name="_Toc79392622"/>
      <w:bookmarkStart w:id="250" w:name="_Toc17198"/>
      <w:bookmarkStart w:id="251" w:name="_Toc123112238"/>
      <w:bookmarkStart w:id="252" w:name="_Toc141703890"/>
      <w:bookmarkStart w:id="253" w:name="_Toc98560356"/>
      <w:bookmarkStart w:id="254" w:name="_Toc8791"/>
      <w:bookmarkStart w:id="255" w:name="_Toc21237"/>
      <w:bookmarkStart w:id="256" w:name="_Toc3329"/>
      <w:bookmarkStart w:id="257" w:name="_Toc531676877"/>
      <w:bookmarkStart w:id="258" w:name="_Toc139991740"/>
      <w:bookmarkStart w:id="259" w:name="_Toc123051456"/>
      <w:bookmarkStart w:id="260" w:name="_Toc89430565"/>
      <w:bookmarkStart w:id="261" w:name="_Toc17920"/>
      <w:bookmarkStart w:id="262" w:name="_Toc739"/>
      <w:r>
        <w:rPr>
          <w:rFonts w:ascii="Times New Roman"/>
          <w:color w:val="auto"/>
          <w:sz w:val="32"/>
        </w:rPr>
        <w:lastRenderedPageBreak/>
        <w:t>第十部分</w:t>
      </w:r>
      <w:r>
        <w:rPr>
          <w:rFonts w:ascii="Times New Roman" w:hint="eastAsia"/>
          <w:color w:val="auto"/>
          <w:sz w:val="32"/>
        </w:rPr>
        <w:t xml:space="preserve">  </w:t>
      </w:r>
      <w:r>
        <w:rPr>
          <w:rFonts w:ascii="Times New Roman"/>
          <w:color w:val="auto"/>
          <w:sz w:val="32"/>
        </w:rPr>
        <w:t>基金的托管</w:t>
      </w:r>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3AC9D32F" w14:textId="77777777" w:rsidR="00166BB1" w:rsidRDefault="00166BB1">
      <w:pPr>
        <w:autoSpaceDE w:val="0"/>
        <w:autoSpaceDN w:val="0"/>
        <w:spacing w:line="360" w:lineRule="auto"/>
        <w:textAlignment w:val="bottom"/>
        <w:rPr>
          <w:bCs/>
          <w:sz w:val="24"/>
        </w:rPr>
      </w:pPr>
    </w:p>
    <w:p w14:paraId="6BB785EB" w14:textId="77777777" w:rsidR="00166BB1" w:rsidRDefault="00166BB1">
      <w:pPr>
        <w:adjustRightInd w:val="0"/>
        <w:snapToGrid w:val="0"/>
        <w:spacing w:line="360" w:lineRule="auto"/>
        <w:ind w:firstLineChars="200" w:firstLine="480"/>
        <w:rPr>
          <w:bCs/>
          <w:sz w:val="24"/>
        </w:rPr>
      </w:pPr>
      <w:r>
        <w:rPr>
          <w:bCs/>
          <w:sz w:val="24"/>
        </w:rPr>
        <w:t>基金托管人和基金管理人按照《基金法》、基金合同及其他有关规定订立托管协议。</w:t>
      </w:r>
    </w:p>
    <w:p w14:paraId="7A996C06" w14:textId="77777777" w:rsidR="00166BB1" w:rsidRDefault="00166BB1">
      <w:pPr>
        <w:autoSpaceDE w:val="0"/>
        <w:autoSpaceDN w:val="0"/>
        <w:adjustRightInd w:val="0"/>
        <w:snapToGrid w:val="0"/>
        <w:spacing w:line="360" w:lineRule="auto"/>
        <w:ind w:firstLineChars="200" w:firstLine="480"/>
        <w:textAlignment w:val="bottom"/>
        <w:rPr>
          <w:bCs/>
          <w:sz w:val="24"/>
        </w:rPr>
      </w:pPr>
      <w:r>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AD2127F" w14:textId="77777777" w:rsidR="00166BB1" w:rsidRDefault="00166BB1">
      <w:pPr>
        <w:pStyle w:val="1"/>
        <w:spacing w:before="0" w:after="0"/>
        <w:jc w:val="center"/>
        <w:rPr>
          <w:rFonts w:ascii="Times New Roman"/>
          <w:color w:val="auto"/>
          <w:sz w:val="32"/>
        </w:rPr>
      </w:pPr>
      <w:r>
        <w:rPr>
          <w:rFonts w:ascii="Times New Roman"/>
          <w:b w:val="0"/>
          <w:bCs/>
          <w:color w:val="auto"/>
        </w:rPr>
        <w:br w:type="page"/>
      </w:r>
      <w:bookmarkStart w:id="263" w:name="_Toc48649710"/>
      <w:bookmarkStart w:id="264" w:name="_Toc123051457"/>
      <w:bookmarkStart w:id="265" w:name="_Toc21886"/>
      <w:bookmarkStart w:id="266" w:name="_Toc14725"/>
      <w:bookmarkStart w:id="267" w:name="_Toc123112239"/>
      <w:bookmarkStart w:id="268" w:name="_Toc22674"/>
      <w:bookmarkStart w:id="269" w:name="_Toc139991741"/>
      <w:bookmarkStart w:id="270" w:name="_Toc79392624"/>
      <w:bookmarkStart w:id="271" w:name="_Toc26084"/>
      <w:bookmarkStart w:id="272" w:name="_Toc3244"/>
      <w:bookmarkStart w:id="273" w:name="_Toc2255"/>
      <w:bookmarkStart w:id="274" w:name="_Toc89430566"/>
      <w:bookmarkStart w:id="275" w:name="_Toc141703891"/>
      <w:bookmarkStart w:id="276" w:name="_Toc531676878"/>
      <w:bookmarkStart w:id="277" w:name="_Toc98560357"/>
      <w:bookmarkStart w:id="278" w:name="_Toc26152"/>
      <w:bookmarkStart w:id="279" w:name="_Toc16789"/>
      <w:bookmarkStart w:id="280" w:name="_Toc26383"/>
      <w:bookmarkStart w:id="281" w:name="_Toc123102458"/>
      <w:bookmarkStart w:id="282" w:name="_Toc19520"/>
      <w:r>
        <w:rPr>
          <w:rFonts w:ascii="Times New Roman"/>
          <w:color w:val="auto"/>
          <w:sz w:val="32"/>
        </w:rPr>
        <w:lastRenderedPageBreak/>
        <w:t>第十</w:t>
      </w:r>
      <w:r>
        <w:rPr>
          <w:rFonts w:ascii="Times New Roman" w:hint="eastAsia"/>
          <w:color w:val="auto"/>
          <w:sz w:val="32"/>
        </w:rPr>
        <w:t>一</w:t>
      </w:r>
      <w:r>
        <w:rPr>
          <w:rFonts w:ascii="Times New Roman"/>
          <w:color w:val="auto"/>
          <w:sz w:val="32"/>
        </w:rPr>
        <w:t>部分</w:t>
      </w:r>
      <w:r>
        <w:rPr>
          <w:rFonts w:ascii="Times New Roman" w:hint="eastAsia"/>
          <w:color w:val="auto"/>
          <w:sz w:val="32"/>
        </w:rPr>
        <w:t xml:space="preserve">  </w:t>
      </w:r>
      <w:r>
        <w:rPr>
          <w:rFonts w:ascii="Times New Roman"/>
          <w:color w:val="auto"/>
          <w:sz w:val="32"/>
        </w:rPr>
        <w:t>基金份额的登记</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p>
    <w:p w14:paraId="181C76C5" w14:textId="77777777" w:rsidR="00166BB1" w:rsidRDefault="00166BB1">
      <w:pPr>
        <w:autoSpaceDE w:val="0"/>
        <w:autoSpaceDN w:val="0"/>
        <w:spacing w:line="360" w:lineRule="auto"/>
        <w:textAlignment w:val="bottom"/>
        <w:rPr>
          <w:bCs/>
          <w:sz w:val="24"/>
        </w:rPr>
      </w:pPr>
    </w:p>
    <w:p w14:paraId="170514F2"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一、基金份额</w:t>
      </w:r>
      <w:r>
        <w:rPr>
          <w:rFonts w:ascii="宋体" w:hAnsi="宋体" w:hint="eastAsia"/>
          <w:bCs/>
          <w:sz w:val="24"/>
        </w:rPr>
        <w:t>的</w:t>
      </w:r>
      <w:r>
        <w:rPr>
          <w:rFonts w:ascii="宋体" w:hAnsi="宋体"/>
          <w:bCs/>
          <w:sz w:val="24"/>
        </w:rPr>
        <w:t>登记业务</w:t>
      </w:r>
    </w:p>
    <w:p w14:paraId="3901564A"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Pr>
          <w:rFonts w:ascii="宋体" w:hAnsi="宋体" w:hint="eastAsia"/>
          <w:bCs/>
          <w:sz w:val="24"/>
        </w:rPr>
        <w:t>和办理</w:t>
      </w:r>
      <w:proofErr w:type="gramStart"/>
      <w:r>
        <w:rPr>
          <w:rFonts w:ascii="宋体" w:hAnsi="宋体" w:hint="eastAsia"/>
          <w:bCs/>
          <w:sz w:val="24"/>
        </w:rPr>
        <w:t>非交易</w:t>
      </w:r>
      <w:proofErr w:type="gramEnd"/>
      <w:r>
        <w:rPr>
          <w:rFonts w:ascii="宋体" w:hAnsi="宋体" w:hint="eastAsia"/>
          <w:bCs/>
          <w:sz w:val="24"/>
        </w:rPr>
        <w:t>过户</w:t>
      </w:r>
      <w:r>
        <w:rPr>
          <w:rFonts w:ascii="宋体" w:hAnsi="宋体"/>
          <w:bCs/>
          <w:sz w:val="24"/>
        </w:rPr>
        <w:t>等</w:t>
      </w:r>
      <w:r>
        <w:rPr>
          <w:rFonts w:ascii="宋体" w:hAnsi="宋体" w:hint="eastAsia"/>
          <w:bCs/>
          <w:sz w:val="24"/>
        </w:rPr>
        <w:t>。</w:t>
      </w:r>
    </w:p>
    <w:p w14:paraId="03582E93"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二、基金登记业务办理机构</w:t>
      </w:r>
    </w:p>
    <w:p w14:paraId="68FF8123"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本基金的登记业务由基金管理人或基金管理人委托的其他符合条件的机构办理。基金管理人委托其他机构办理本基金登记业务的，应与代理人签订委托代理协议，以明确基金管理人和代理机构在投资人基金账户管理、基金份额登记、清算及基金交易确认、发放红利、建立并保管基金份额持有人名册和办理</w:t>
      </w:r>
      <w:proofErr w:type="gramStart"/>
      <w:r>
        <w:rPr>
          <w:rFonts w:ascii="宋体" w:hAnsi="宋体" w:hint="eastAsia"/>
          <w:bCs/>
          <w:sz w:val="24"/>
        </w:rPr>
        <w:t>非交易</w:t>
      </w:r>
      <w:proofErr w:type="gramEnd"/>
      <w:r>
        <w:rPr>
          <w:rFonts w:ascii="宋体" w:hAnsi="宋体" w:hint="eastAsia"/>
          <w:bCs/>
          <w:sz w:val="24"/>
        </w:rPr>
        <w:t>过户等事宜中的权利和义务，保护基金份额持有人的合法权益。</w:t>
      </w:r>
    </w:p>
    <w:p w14:paraId="2D09FD59"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三、基金登记机构的权利</w:t>
      </w:r>
      <w:bookmarkStart w:id="283" w:name="_Hlt88820748"/>
      <w:bookmarkEnd w:id="283"/>
    </w:p>
    <w:p w14:paraId="73490CCE"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基金登记机构享有以下权利：</w:t>
      </w:r>
    </w:p>
    <w:p w14:paraId="547D33FE"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1、取得登记费；</w:t>
      </w:r>
    </w:p>
    <w:p w14:paraId="62408C89"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2、建立和管理投资</w:t>
      </w:r>
      <w:r>
        <w:rPr>
          <w:rFonts w:ascii="宋体" w:hAnsi="宋体" w:hint="eastAsia"/>
          <w:bCs/>
          <w:sz w:val="24"/>
        </w:rPr>
        <w:t>人</w:t>
      </w:r>
      <w:r>
        <w:rPr>
          <w:rFonts w:ascii="宋体" w:hAnsi="宋体"/>
          <w:bCs/>
          <w:sz w:val="24"/>
        </w:rPr>
        <w:t>基金账户；</w:t>
      </w:r>
    </w:p>
    <w:p w14:paraId="615C47DF"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3、</w:t>
      </w:r>
      <w:r>
        <w:rPr>
          <w:rFonts w:ascii="宋体" w:hAnsi="宋体" w:hint="eastAsia"/>
          <w:bCs/>
          <w:sz w:val="24"/>
        </w:rPr>
        <w:t>保管</w:t>
      </w:r>
      <w:r>
        <w:rPr>
          <w:rFonts w:ascii="宋体" w:hAnsi="宋体"/>
          <w:bCs/>
          <w:sz w:val="24"/>
        </w:rPr>
        <w:t>基金份额持有人开户资料、交易资料、基金份额持有人名册等；</w:t>
      </w:r>
    </w:p>
    <w:p w14:paraId="2C3E29A1"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4、在法律法规允许的范围内，对登记业务的办理时间及规则进行调整，并依照有关规定于开始实施前在规定媒介上公告；</w:t>
      </w:r>
    </w:p>
    <w:p w14:paraId="67CFC360"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5、</w:t>
      </w:r>
      <w:r>
        <w:rPr>
          <w:rFonts w:ascii="宋体" w:hAnsi="宋体" w:hint="eastAsia"/>
          <w:bCs/>
          <w:sz w:val="24"/>
        </w:rPr>
        <w:t>法律法规及中国证监会规定的和基金合同约定的其他</w:t>
      </w:r>
      <w:r>
        <w:rPr>
          <w:rFonts w:ascii="宋体" w:hAnsi="宋体"/>
          <w:bCs/>
          <w:sz w:val="24"/>
        </w:rPr>
        <w:t>权利。</w:t>
      </w:r>
    </w:p>
    <w:p w14:paraId="28873B6E"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四、基金登记机构的义务</w:t>
      </w:r>
    </w:p>
    <w:p w14:paraId="66FFA09C"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基金登记机构承担以下义务：</w:t>
      </w:r>
    </w:p>
    <w:p w14:paraId="77C15C9B"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1、配备足够的专业人员办理本</w:t>
      </w:r>
      <w:proofErr w:type="gramStart"/>
      <w:r>
        <w:rPr>
          <w:rFonts w:ascii="宋体" w:hAnsi="宋体" w:hint="eastAsia"/>
          <w:bCs/>
          <w:sz w:val="24"/>
        </w:rPr>
        <w:t>基金基金</w:t>
      </w:r>
      <w:proofErr w:type="gramEnd"/>
      <w:r>
        <w:rPr>
          <w:rFonts w:ascii="宋体" w:hAnsi="宋体"/>
          <w:bCs/>
          <w:sz w:val="24"/>
        </w:rPr>
        <w:t>份额的登记业务；</w:t>
      </w:r>
    </w:p>
    <w:p w14:paraId="500AA1A4"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2、严格按照法律法规和基金合同规定的条件办理本</w:t>
      </w:r>
      <w:proofErr w:type="gramStart"/>
      <w:r>
        <w:rPr>
          <w:rFonts w:ascii="宋体" w:hAnsi="宋体" w:hint="eastAsia"/>
          <w:bCs/>
          <w:sz w:val="24"/>
        </w:rPr>
        <w:t>基金基金</w:t>
      </w:r>
      <w:proofErr w:type="gramEnd"/>
      <w:r>
        <w:rPr>
          <w:rFonts w:ascii="宋体" w:hAnsi="宋体"/>
          <w:bCs/>
          <w:sz w:val="24"/>
        </w:rPr>
        <w:t>份额的登记业务；</w:t>
      </w:r>
    </w:p>
    <w:p w14:paraId="42E7E9D1"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3、妥善保存登记数据，并将基金份额持有人名称、身份信息及基金份额明细等数据备份至中国证监会认定的机构。其保存期限自基金账户销户之日起不得少于20年；</w:t>
      </w:r>
    </w:p>
    <w:p w14:paraId="5601DD94"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4、对基金份额持有人的基金账户信息负有保密义务，因违反该保密义务对</w:t>
      </w:r>
      <w:r>
        <w:rPr>
          <w:rFonts w:ascii="宋体" w:hAnsi="宋体"/>
          <w:bCs/>
          <w:sz w:val="24"/>
        </w:rPr>
        <w:lastRenderedPageBreak/>
        <w:t>投资</w:t>
      </w:r>
      <w:r>
        <w:rPr>
          <w:rFonts w:ascii="宋体" w:hAnsi="宋体" w:hint="eastAsia"/>
          <w:bCs/>
          <w:sz w:val="24"/>
        </w:rPr>
        <w:t>人</w:t>
      </w:r>
      <w:r>
        <w:rPr>
          <w:rFonts w:ascii="宋体" w:hAnsi="宋体"/>
          <w:bCs/>
          <w:sz w:val="24"/>
        </w:rPr>
        <w:t>或基金带来的损失，须承担相应的赔偿责任，但司法强制检查情形及</w:t>
      </w:r>
      <w:r>
        <w:rPr>
          <w:rFonts w:ascii="宋体" w:hAnsi="宋体" w:hint="eastAsia"/>
          <w:bCs/>
          <w:sz w:val="24"/>
        </w:rPr>
        <w:t>法律法规及中国证监会规定的和基金合同约定的其他</w:t>
      </w:r>
      <w:r>
        <w:rPr>
          <w:rFonts w:ascii="宋体" w:hAnsi="宋体"/>
          <w:bCs/>
          <w:sz w:val="24"/>
        </w:rPr>
        <w:t>情形除外；</w:t>
      </w:r>
    </w:p>
    <w:p w14:paraId="209E4AC3"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5、按基金合同及招募说明书规定为投资</w:t>
      </w:r>
      <w:r>
        <w:rPr>
          <w:rFonts w:ascii="宋体" w:hAnsi="宋体" w:hint="eastAsia"/>
          <w:bCs/>
          <w:sz w:val="24"/>
        </w:rPr>
        <w:t>人</w:t>
      </w:r>
      <w:r>
        <w:rPr>
          <w:rFonts w:ascii="宋体" w:hAnsi="宋体"/>
          <w:bCs/>
          <w:sz w:val="24"/>
        </w:rPr>
        <w:t>办理</w:t>
      </w:r>
      <w:proofErr w:type="gramStart"/>
      <w:r>
        <w:rPr>
          <w:rFonts w:ascii="宋体" w:hAnsi="宋体"/>
          <w:bCs/>
          <w:sz w:val="24"/>
        </w:rPr>
        <w:t>非交易</w:t>
      </w:r>
      <w:proofErr w:type="gramEnd"/>
      <w:r>
        <w:rPr>
          <w:rFonts w:ascii="宋体" w:hAnsi="宋体"/>
          <w:bCs/>
          <w:sz w:val="24"/>
        </w:rPr>
        <w:t>过户业务、提供其他必要的服务；</w:t>
      </w:r>
    </w:p>
    <w:p w14:paraId="73A6E611"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6、接受基金管理人的监督（基金管理人委托其他机构办理本基金登记业务的）；</w:t>
      </w:r>
    </w:p>
    <w:p w14:paraId="64D50219" w14:textId="77777777" w:rsidR="00166BB1" w:rsidRDefault="00166BB1">
      <w:pPr>
        <w:adjustRightInd w:val="0"/>
        <w:snapToGrid w:val="0"/>
        <w:spacing w:line="360" w:lineRule="auto"/>
        <w:ind w:firstLineChars="200" w:firstLine="480"/>
        <w:rPr>
          <w:bCs/>
          <w:sz w:val="24"/>
        </w:rPr>
      </w:pPr>
      <w:r>
        <w:rPr>
          <w:rFonts w:ascii="宋体" w:hAnsi="宋体"/>
          <w:bCs/>
          <w:sz w:val="24"/>
        </w:rPr>
        <w:t>7</w:t>
      </w:r>
      <w:r>
        <w:rPr>
          <w:rFonts w:ascii="宋体" w:hAnsi="宋体" w:hint="eastAsia"/>
          <w:bCs/>
          <w:sz w:val="24"/>
        </w:rPr>
        <w:t>、法律法规及中国证监会规定的和基金合同约定的其他义务。</w:t>
      </w:r>
    </w:p>
    <w:p w14:paraId="5ABE76E3" w14:textId="77777777" w:rsidR="00166BB1" w:rsidRDefault="00166BB1">
      <w:pPr>
        <w:pStyle w:val="1"/>
        <w:spacing w:before="0" w:after="0"/>
        <w:jc w:val="center"/>
        <w:rPr>
          <w:rFonts w:ascii="Times New Roman"/>
          <w:color w:val="auto"/>
          <w:sz w:val="32"/>
        </w:rPr>
      </w:pPr>
      <w:bookmarkStart w:id="284" w:name="_Toc578"/>
      <w:bookmarkStart w:id="285" w:name="_Toc5477"/>
      <w:bookmarkStart w:id="286" w:name="_Toc21917"/>
      <w:bookmarkStart w:id="287" w:name="_Toc11395"/>
      <w:bookmarkStart w:id="288" w:name="_Toc11351"/>
      <w:bookmarkStart w:id="289" w:name="_Toc16437"/>
      <w:bookmarkStart w:id="290" w:name="_Toc22538"/>
      <w:bookmarkStart w:id="291" w:name="_Toc801"/>
      <w:bookmarkStart w:id="292" w:name="_Toc3872"/>
      <w:bookmarkStart w:id="293" w:name="_Toc2981"/>
      <w:r>
        <w:rPr>
          <w:rFonts w:ascii="Times New Roman"/>
          <w:color w:val="auto"/>
          <w:sz w:val="32"/>
        </w:rPr>
        <w:br w:type="page"/>
      </w:r>
      <w:bookmarkStart w:id="294" w:name="_Toc89430567"/>
      <w:bookmarkStart w:id="295" w:name="_Toc531676879"/>
      <w:r>
        <w:rPr>
          <w:rFonts w:ascii="Times New Roman"/>
          <w:color w:val="auto"/>
          <w:sz w:val="32"/>
        </w:rPr>
        <w:lastRenderedPageBreak/>
        <w:t>第十</w:t>
      </w:r>
      <w:r>
        <w:rPr>
          <w:rFonts w:ascii="Times New Roman" w:hint="eastAsia"/>
          <w:color w:val="auto"/>
          <w:sz w:val="32"/>
        </w:rPr>
        <w:t>二</w:t>
      </w:r>
      <w:r>
        <w:rPr>
          <w:rFonts w:ascii="Times New Roman"/>
          <w:color w:val="auto"/>
          <w:sz w:val="32"/>
        </w:rPr>
        <w:t>部分</w:t>
      </w:r>
      <w:r>
        <w:rPr>
          <w:rFonts w:ascii="Times New Roman" w:hint="eastAsia"/>
          <w:color w:val="auto"/>
          <w:sz w:val="32"/>
        </w:rPr>
        <w:t xml:space="preserve">  </w:t>
      </w:r>
      <w:r>
        <w:rPr>
          <w:rFonts w:ascii="Times New Roman"/>
          <w:color w:val="auto"/>
          <w:sz w:val="32"/>
        </w:rPr>
        <w:t>基金的投资</w:t>
      </w:r>
      <w:bookmarkEnd w:id="284"/>
      <w:bookmarkEnd w:id="285"/>
      <w:bookmarkEnd w:id="286"/>
      <w:bookmarkEnd w:id="287"/>
      <w:bookmarkEnd w:id="288"/>
      <w:bookmarkEnd w:id="289"/>
      <w:bookmarkEnd w:id="290"/>
      <w:bookmarkEnd w:id="291"/>
      <w:bookmarkEnd w:id="292"/>
      <w:bookmarkEnd w:id="293"/>
      <w:bookmarkEnd w:id="294"/>
      <w:bookmarkEnd w:id="295"/>
    </w:p>
    <w:p w14:paraId="57E3BB54" w14:textId="77777777" w:rsidR="00166BB1" w:rsidRDefault="00166BB1">
      <w:pPr>
        <w:spacing w:line="360" w:lineRule="auto"/>
        <w:ind w:firstLineChars="200" w:firstLine="480"/>
        <w:rPr>
          <w:bCs/>
          <w:sz w:val="24"/>
        </w:rPr>
      </w:pPr>
    </w:p>
    <w:p w14:paraId="56966FB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一、投资目标</w:t>
      </w:r>
    </w:p>
    <w:p w14:paraId="64479B89" w14:textId="77777777" w:rsidR="00166BB1" w:rsidRDefault="00166BB1">
      <w:pPr>
        <w:snapToGrid w:val="0"/>
        <w:spacing w:line="360" w:lineRule="auto"/>
        <w:ind w:firstLine="480"/>
        <w:rPr>
          <w:bCs/>
          <w:sz w:val="24"/>
          <w:szCs w:val="24"/>
        </w:rPr>
      </w:pPr>
      <w:r>
        <w:rPr>
          <w:sz w:val="24"/>
          <w:szCs w:val="24"/>
        </w:rPr>
        <w:t>本基金主要通过投资于目标</w:t>
      </w:r>
      <w:r>
        <w:rPr>
          <w:rFonts w:ascii="宋体" w:hAnsi="宋体"/>
          <w:sz w:val="24"/>
          <w:szCs w:val="24"/>
        </w:rPr>
        <w:t>ETF</w:t>
      </w:r>
      <w:r>
        <w:rPr>
          <w:sz w:val="24"/>
          <w:szCs w:val="24"/>
        </w:rPr>
        <w:t>，紧密跟踪标的指数，追求跟踪偏离度和跟踪误差最小化</w:t>
      </w:r>
      <w:r>
        <w:rPr>
          <w:bCs/>
          <w:sz w:val="24"/>
          <w:szCs w:val="24"/>
        </w:rPr>
        <w:t>。</w:t>
      </w:r>
    </w:p>
    <w:p w14:paraId="2A26C67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二、投资范围</w:t>
      </w:r>
      <w:bookmarkStart w:id="296" w:name="OLE_LINK6"/>
      <w:bookmarkStart w:id="297" w:name="OLE_LINK5"/>
    </w:p>
    <w:bookmarkEnd w:id="296"/>
    <w:bookmarkEnd w:id="297"/>
    <w:p w14:paraId="2C997C95" w14:textId="77777777" w:rsidR="00166BB1" w:rsidRDefault="00166BB1">
      <w:pPr>
        <w:autoSpaceDE w:val="0"/>
        <w:autoSpaceDN w:val="0"/>
        <w:adjustRightInd w:val="0"/>
        <w:snapToGrid w:val="0"/>
        <w:spacing w:line="360" w:lineRule="auto"/>
        <w:ind w:firstLineChars="200" w:firstLine="480"/>
        <w:rPr>
          <w:bCs/>
          <w:sz w:val="24"/>
          <w:szCs w:val="24"/>
        </w:rPr>
      </w:pPr>
      <w:r>
        <w:rPr>
          <w:rFonts w:hint="eastAsia"/>
          <w:bCs/>
          <w:sz w:val="24"/>
          <w:szCs w:val="24"/>
        </w:rPr>
        <w:t>本基金以目标</w:t>
      </w:r>
      <w:r>
        <w:rPr>
          <w:rFonts w:hint="eastAsia"/>
          <w:bCs/>
          <w:sz w:val="24"/>
          <w:szCs w:val="24"/>
        </w:rPr>
        <w:t>ETF</w:t>
      </w:r>
      <w:r>
        <w:rPr>
          <w:rFonts w:hint="eastAsia"/>
          <w:bCs/>
          <w:sz w:val="24"/>
          <w:szCs w:val="24"/>
        </w:rPr>
        <w:t>基金份额、标的指数成份股及备选成份股（均含存托凭证，下同）为主要投资对象。此外，为更好地实现投资目标，本基金可少量投资于部分非成份股（包括主板股票、创业板股票、</w:t>
      </w:r>
      <w:proofErr w:type="gramStart"/>
      <w:r>
        <w:rPr>
          <w:rFonts w:hint="eastAsia"/>
          <w:bCs/>
          <w:sz w:val="24"/>
          <w:szCs w:val="24"/>
        </w:rPr>
        <w:t>科创板</w:t>
      </w:r>
      <w:proofErr w:type="gramEnd"/>
      <w:r>
        <w:rPr>
          <w:rFonts w:hint="eastAsia"/>
          <w:bCs/>
          <w:sz w:val="24"/>
          <w:szCs w:val="24"/>
        </w:rPr>
        <w:t>股票、存托凭证及其他经中国证监会核准或注册上市的股票）、债券资产（包括国债、金融债券、企业债券、公司债券、公开发行的次级债券、可转换公司债</w:t>
      </w:r>
      <w:proofErr w:type="gramStart"/>
      <w:r>
        <w:rPr>
          <w:rFonts w:hint="eastAsia"/>
          <w:bCs/>
          <w:sz w:val="24"/>
          <w:szCs w:val="24"/>
        </w:rPr>
        <w:t>券</w:t>
      </w:r>
      <w:proofErr w:type="gramEnd"/>
      <w:r>
        <w:rPr>
          <w:rFonts w:hint="eastAsia"/>
          <w:bCs/>
          <w:sz w:val="24"/>
          <w:szCs w:val="24"/>
        </w:rPr>
        <w:t>（含分离交易的可转换公司债</w:t>
      </w:r>
      <w:proofErr w:type="gramStart"/>
      <w:r>
        <w:rPr>
          <w:rFonts w:hint="eastAsia"/>
          <w:bCs/>
          <w:sz w:val="24"/>
          <w:szCs w:val="24"/>
        </w:rPr>
        <w:t>券</w:t>
      </w:r>
      <w:proofErr w:type="gramEnd"/>
      <w:r>
        <w:rPr>
          <w:rFonts w:hint="eastAsia"/>
          <w:bCs/>
          <w:sz w:val="24"/>
          <w:szCs w:val="24"/>
        </w:rPr>
        <w:t>）、央行票据、短期融资</w:t>
      </w:r>
      <w:proofErr w:type="gramStart"/>
      <w:r>
        <w:rPr>
          <w:rFonts w:hint="eastAsia"/>
          <w:bCs/>
          <w:sz w:val="24"/>
          <w:szCs w:val="24"/>
        </w:rPr>
        <w:t>券</w:t>
      </w:r>
      <w:proofErr w:type="gramEnd"/>
      <w:r>
        <w:rPr>
          <w:rFonts w:hint="eastAsia"/>
          <w:bCs/>
          <w:sz w:val="24"/>
          <w:szCs w:val="24"/>
        </w:rPr>
        <w:t>、超短期融资</w:t>
      </w:r>
      <w:proofErr w:type="gramStart"/>
      <w:r>
        <w:rPr>
          <w:rFonts w:hint="eastAsia"/>
          <w:bCs/>
          <w:sz w:val="24"/>
          <w:szCs w:val="24"/>
        </w:rPr>
        <w:t>券</w:t>
      </w:r>
      <w:proofErr w:type="gramEnd"/>
      <w:r>
        <w:rPr>
          <w:rFonts w:hint="eastAsia"/>
          <w:bCs/>
          <w:sz w:val="24"/>
          <w:szCs w:val="24"/>
        </w:rPr>
        <w:t>、地方政府债券、政府支持机构债券、中期票据、可交换债券以及其他中国证监会允许投资的债券）、银行存款（包括银行定期存款、协议存款及其他银行存款）、资产支持证券、债券回购、同业存单、现金、衍生工具（股指期货、股票期权、国债期货）以及法律法规或中国证监会允许基金投资的其他金融工具，但须符合中国证监会相关规定。</w:t>
      </w:r>
    </w:p>
    <w:p w14:paraId="174D2B6F" w14:textId="77777777" w:rsidR="00166BB1" w:rsidRDefault="00166BB1">
      <w:pPr>
        <w:autoSpaceDE w:val="0"/>
        <w:autoSpaceDN w:val="0"/>
        <w:adjustRightInd w:val="0"/>
        <w:snapToGrid w:val="0"/>
        <w:spacing w:line="360" w:lineRule="auto"/>
        <w:ind w:firstLineChars="200" w:firstLine="480"/>
        <w:rPr>
          <w:bCs/>
          <w:sz w:val="24"/>
          <w:szCs w:val="24"/>
        </w:rPr>
      </w:pPr>
      <w:r>
        <w:rPr>
          <w:rFonts w:hint="eastAsia"/>
          <w:bCs/>
          <w:sz w:val="24"/>
          <w:szCs w:val="24"/>
        </w:rPr>
        <w:t>本基金可以根据相关法律法规，参与融资及转融通证券出借业务。</w:t>
      </w:r>
    </w:p>
    <w:p w14:paraId="068809DC" w14:textId="77777777" w:rsidR="00166BB1" w:rsidRDefault="00166BB1">
      <w:pPr>
        <w:autoSpaceDE w:val="0"/>
        <w:autoSpaceDN w:val="0"/>
        <w:adjustRightInd w:val="0"/>
        <w:snapToGrid w:val="0"/>
        <w:spacing w:line="360" w:lineRule="auto"/>
        <w:ind w:firstLineChars="200" w:firstLine="480"/>
        <w:rPr>
          <w:bCs/>
          <w:sz w:val="24"/>
          <w:szCs w:val="24"/>
        </w:rPr>
      </w:pPr>
      <w:r>
        <w:rPr>
          <w:rFonts w:hint="eastAsia"/>
          <w:bCs/>
          <w:sz w:val="24"/>
          <w:szCs w:val="24"/>
        </w:rPr>
        <w:t>如法律法规或监管机构以后允许基金投资其他品种，基金管理人在履行适当程序后，可以将其纳入投资范围，其投资原则及投资比例</w:t>
      </w:r>
      <w:proofErr w:type="gramStart"/>
      <w:r>
        <w:rPr>
          <w:rFonts w:hint="eastAsia"/>
          <w:bCs/>
          <w:sz w:val="24"/>
          <w:szCs w:val="24"/>
        </w:rPr>
        <w:t>限制按</w:t>
      </w:r>
      <w:proofErr w:type="gramEnd"/>
      <w:r>
        <w:rPr>
          <w:rFonts w:hint="eastAsia"/>
          <w:bCs/>
          <w:sz w:val="24"/>
          <w:szCs w:val="24"/>
        </w:rPr>
        <w:t>法律法规或监管机构的相关规定执行。</w:t>
      </w:r>
    </w:p>
    <w:p w14:paraId="2BEEE9CE" w14:textId="77777777" w:rsidR="00166BB1" w:rsidRDefault="00166BB1">
      <w:pPr>
        <w:autoSpaceDE w:val="0"/>
        <w:autoSpaceDN w:val="0"/>
        <w:adjustRightInd w:val="0"/>
        <w:snapToGrid w:val="0"/>
        <w:spacing w:line="360" w:lineRule="auto"/>
        <w:ind w:firstLineChars="200" w:firstLine="480"/>
        <w:rPr>
          <w:bCs/>
          <w:sz w:val="24"/>
          <w:szCs w:val="24"/>
        </w:rPr>
      </w:pPr>
      <w:r>
        <w:rPr>
          <w:rFonts w:hint="eastAsia"/>
          <w:bCs/>
          <w:sz w:val="24"/>
          <w:szCs w:val="24"/>
        </w:rPr>
        <w:t>基金的投资组合比例为：本基金投资于目标</w:t>
      </w:r>
      <w:r>
        <w:rPr>
          <w:rFonts w:hint="eastAsia"/>
          <w:bCs/>
          <w:sz w:val="24"/>
          <w:szCs w:val="24"/>
        </w:rPr>
        <w:t>ETF</w:t>
      </w:r>
      <w:r>
        <w:rPr>
          <w:rFonts w:hint="eastAsia"/>
          <w:bCs/>
          <w:sz w:val="24"/>
          <w:szCs w:val="24"/>
        </w:rPr>
        <w:t>的比例不低于基金资产净值的</w:t>
      </w:r>
      <w:r>
        <w:rPr>
          <w:rFonts w:hint="eastAsia"/>
          <w:bCs/>
          <w:sz w:val="24"/>
          <w:szCs w:val="24"/>
        </w:rPr>
        <w:t>90%</w:t>
      </w:r>
      <w:r>
        <w:rPr>
          <w:rFonts w:hint="eastAsia"/>
          <w:bCs/>
          <w:sz w:val="24"/>
          <w:szCs w:val="24"/>
        </w:rPr>
        <w:t>，每个交易日日终在扣除股指期货合约、股票期权合约和国债期货合约需缴纳的交易保证金后，保持不低于基金资产净值</w:t>
      </w:r>
      <w:r>
        <w:rPr>
          <w:rFonts w:hint="eastAsia"/>
          <w:bCs/>
          <w:sz w:val="24"/>
          <w:szCs w:val="24"/>
        </w:rPr>
        <w:t>5%</w:t>
      </w:r>
      <w:r>
        <w:rPr>
          <w:rFonts w:hint="eastAsia"/>
          <w:bCs/>
          <w:sz w:val="24"/>
          <w:szCs w:val="24"/>
        </w:rPr>
        <w:t>的现金或者到期日在一年以内的政府债券，其中，现金不包括结算备付金、存出保证金和应收申购款等。</w:t>
      </w:r>
    </w:p>
    <w:p w14:paraId="078C561C" w14:textId="77777777" w:rsidR="00166BB1" w:rsidRDefault="00166BB1">
      <w:pPr>
        <w:autoSpaceDE w:val="0"/>
        <w:autoSpaceDN w:val="0"/>
        <w:adjustRightInd w:val="0"/>
        <w:snapToGrid w:val="0"/>
        <w:spacing w:line="360" w:lineRule="auto"/>
        <w:ind w:firstLineChars="200" w:firstLine="480"/>
        <w:rPr>
          <w:bCs/>
          <w:sz w:val="24"/>
          <w:szCs w:val="24"/>
        </w:rPr>
      </w:pPr>
      <w:r>
        <w:rPr>
          <w:rFonts w:hint="eastAsia"/>
          <w:bCs/>
          <w:sz w:val="24"/>
          <w:szCs w:val="24"/>
        </w:rPr>
        <w:t>如法律法规或监管机构变更相关投资品种的投资比例限制，基金管理人在履行适当程序后，可以调整上述投资品种的投资比例或按变更后的规定执行。</w:t>
      </w:r>
    </w:p>
    <w:p w14:paraId="2DD03495" w14:textId="77777777" w:rsidR="00166BB1" w:rsidRDefault="00166BB1">
      <w:pPr>
        <w:autoSpaceDE w:val="0"/>
        <w:autoSpaceDN w:val="0"/>
        <w:adjustRightInd w:val="0"/>
        <w:snapToGrid w:val="0"/>
        <w:spacing w:line="360" w:lineRule="auto"/>
        <w:ind w:firstLineChars="200" w:firstLine="480"/>
        <w:rPr>
          <w:rFonts w:ascii="宋体" w:hAnsi="宋体"/>
          <w:bCs/>
          <w:sz w:val="24"/>
          <w:szCs w:val="24"/>
        </w:rPr>
      </w:pPr>
      <w:r>
        <w:rPr>
          <w:rFonts w:ascii="宋体" w:hAnsi="宋体"/>
          <w:bCs/>
          <w:sz w:val="24"/>
          <w:szCs w:val="24"/>
        </w:rPr>
        <w:t>三、投资策略</w:t>
      </w:r>
    </w:p>
    <w:p w14:paraId="277E0BC0" w14:textId="77777777" w:rsidR="00166BB1" w:rsidRDefault="00166BB1">
      <w:pPr>
        <w:tabs>
          <w:tab w:val="center" w:pos="4393"/>
        </w:tabs>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bCs/>
          <w:sz w:val="24"/>
          <w:szCs w:val="24"/>
        </w:rPr>
        <w:t>本基金为</w:t>
      </w:r>
      <w:r>
        <w:rPr>
          <w:rFonts w:asciiTheme="minorEastAsia" w:eastAsiaTheme="minorEastAsia" w:hAnsiTheme="minorEastAsia" w:hint="eastAsia"/>
          <w:bCs/>
          <w:sz w:val="24"/>
          <w:szCs w:val="24"/>
        </w:rPr>
        <w:t>E</w:t>
      </w:r>
      <w:r>
        <w:rPr>
          <w:rFonts w:asciiTheme="minorEastAsia" w:eastAsiaTheme="minorEastAsia" w:hAnsiTheme="minorEastAsia"/>
          <w:bCs/>
          <w:sz w:val="24"/>
          <w:szCs w:val="24"/>
        </w:rPr>
        <w:t>TF联接基金，主要通过投资于目标</w:t>
      </w:r>
      <w:r>
        <w:rPr>
          <w:rFonts w:asciiTheme="minorEastAsia" w:eastAsiaTheme="minorEastAsia" w:hAnsiTheme="minorEastAsia" w:hint="eastAsia"/>
          <w:bCs/>
          <w:sz w:val="24"/>
          <w:szCs w:val="24"/>
        </w:rPr>
        <w:t>E</w:t>
      </w:r>
      <w:r>
        <w:rPr>
          <w:rFonts w:asciiTheme="minorEastAsia" w:eastAsiaTheme="minorEastAsia" w:hAnsiTheme="minorEastAsia"/>
          <w:bCs/>
          <w:sz w:val="24"/>
          <w:szCs w:val="24"/>
        </w:rPr>
        <w:t>TF，以实现对标的指数的紧密跟踪。本基金力争将本基金净值增长率与业绩比较基准之间的日均跟踪偏离度</w:t>
      </w:r>
      <w:r>
        <w:rPr>
          <w:rFonts w:asciiTheme="minorEastAsia" w:eastAsiaTheme="minorEastAsia" w:hAnsiTheme="minorEastAsia"/>
          <w:bCs/>
          <w:sz w:val="24"/>
          <w:szCs w:val="24"/>
        </w:rPr>
        <w:lastRenderedPageBreak/>
        <w:t>的绝对值控制在</w:t>
      </w:r>
      <w:r>
        <w:rPr>
          <w:rFonts w:asciiTheme="minorEastAsia" w:eastAsiaTheme="minorEastAsia" w:hAnsiTheme="minorEastAsia"/>
          <w:bCs/>
          <w:sz w:val="24"/>
        </w:rPr>
        <w:t>0.35%</w:t>
      </w:r>
      <w:r>
        <w:rPr>
          <w:rFonts w:asciiTheme="minorEastAsia" w:eastAsiaTheme="minorEastAsia" w:hAnsiTheme="minorEastAsia"/>
          <w:bCs/>
          <w:sz w:val="24"/>
          <w:szCs w:val="24"/>
        </w:rPr>
        <w:t>以内，年跟踪误差控制在</w:t>
      </w:r>
      <w:r>
        <w:rPr>
          <w:rFonts w:asciiTheme="minorEastAsia" w:eastAsiaTheme="minorEastAsia" w:hAnsiTheme="minorEastAsia"/>
          <w:bCs/>
          <w:sz w:val="24"/>
        </w:rPr>
        <w:t>4%</w:t>
      </w:r>
      <w:r>
        <w:rPr>
          <w:rFonts w:asciiTheme="minorEastAsia" w:eastAsiaTheme="minorEastAsia" w:hAnsiTheme="minorEastAsia"/>
          <w:bCs/>
          <w:sz w:val="24"/>
          <w:szCs w:val="24"/>
        </w:rPr>
        <w:t>以内。如因指数编制规则调整或其他因素导致跟踪偏离度和跟踪误差超过上述范围，基金管理人应采取合理措施避免跟踪偏离度、跟踪误差进一步扩大。</w:t>
      </w:r>
    </w:p>
    <w:p w14:paraId="29959380" w14:textId="77777777" w:rsidR="00166BB1" w:rsidRDefault="00166BB1">
      <w:pPr>
        <w:tabs>
          <w:tab w:val="center" w:pos="4393"/>
        </w:tabs>
        <w:snapToGrid w:val="0"/>
        <w:spacing w:line="360" w:lineRule="auto"/>
        <w:ind w:firstLine="480"/>
        <w:rPr>
          <w:bCs/>
          <w:sz w:val="24"/>
          <w:szCs w:val="24"/>
        </w:rPr>
      </w:pPr>
      <w:r>
        <w:rPr>
          <w:bCs/>
          <w:sz w:val="24"/>
          <w:szCs w:val="24"/>
        </w:rPr>
        <w:t>（一）资产配置策略</w:t>
      </w:r>
    </w:p>
    <w:p w14:paraId="6A486BAA" w14:textId="77777777" w:rsidR="00166BB1" w:rsidRDefault="00166BB1">
      <w:pPr>
        <w:tabs>
          <w:tab w:val="center" w:pos="4393"/>
        </w:tabs>
        <w:snapToGrid w:val="0"/>
        <w:spacing w:line="360" w:lineRule="auto"/>
        <w:ind w:firstLine="480"/>
        <w:rPr>
          <w:bCs/>
          <w:sz w:val="24"/>
          <w:szCs w:val="24"/>
        </w:rPr>
      </w:pPr>
      <w:r>
        <w:rPr>
          <w:bCs/>
          <w:sz w:val="24"/>
          <w:szCs w:val="24"/>
        </w:rPr>
        <w:t>本基金主要投资于目标</w:t>
      </w:r>
      <w:r>
        <w:rPr>
          <w:rFonts w:ascii="宋体" w:hAnsi="宋体" w:hint="eastAsia"/>
          <w:bCs/>
          <w:sz w:val="24"/>
          <w:szCs w:val="24"/>
        </w:rPr>
        <w:t>E</w:t>
      </w:r>
      <w:r>
        <w:rPr>
          <w:rFonts w:ascii="宋体" w:hAnsi="宋体"/>
          <w:bCs/>
          <w:sz w:val="24"/>
          <w:szCs w:val="24"/>
        </w:rPr>
        <w:t>TF</w:t>
      </w:r>
      <w:r>
        <w:rPr>
          <w:bCs/>
          <w:sz w:val="24"/>
          <w:szCs w:val="24"/>
        </w:rPr>
        <w:t>、标的指数成份股、备选成份股，其中投资于目标</w:t>
      </w:r>
      <w:r>
        <w:rPr>
          <w:rFonts w:ascii="宋体" w:hAnsi="宋体" w:hint="eastAsia"/>
          <w:bCs/>
          <w:sz w:val="24"/>
          <w:szCs w:val="24"/>
        </w:rPr>
        <w:t>E</w:t>
      </w:r>
      <w:r>
        <w:rPr>
          <w:rFonts w:ascii="宋体" w:hAnsi="宋体"/>
          <w:bCs/>
          <w:sz w:val="24"/>
          <w:szCs w:val="24"/>
        </w:rPr>
        <w:t>TF</w:t>
      </w:r>
      <w:r>
        <w:rPr>
          <w:bCs/>
          <w:sz w:val="24"/>
          <w:szCs w:val="24"/>
        </w:rPr>
        <w:t>的比例不低于基金资产净值的</w:t>
      </w:r>
      <w:r>
        <w:rPr>
          <w:rFonts w:asciiTheme="minorEastAsia" w:eastAsiaTheme="minorEastAsia" w:hAnsiTheme="minorEastAsia"/>
          <w:bCs/>
          <w:sz w:val="24"/>
        </w:rPr>
        <w:t>90%</w:t>
      </w:r>
      <w:r>
        <w:rPr>
          <w:bCs/>
          <w:sz w:val="24"/>
          <w:szCs w:val="24"/>
        </w:rPr>
        <w:t>，每个交易日日终在扣除股指期货合约、股票期权合约和国债期货合约需缴纳的交易保证金后，保持不低于基金资产净值</w:t>
      </w:r>
      <w:r>
        <w:rPr>
          <w:rFonts w:asciiTheme="minorEastAsia" w:eastAsiaTheme="minorEastAsia" w:hAnsiTheme="minorEastAsia"/>
          <w:bCs/>
          <w:sz w:val="24"/>
        </w:rPr>
        <w:t>5%</w:t>
      </w:r>
      <w:r>
        <w:rPr>
          <w:bCs/>
          <w:sz w:val="24"/>
          <w:szCs w:val="24"/>
        </w:rPr>
        <w:t>的现金或者到期日在一年以内的政府债券。为更好地实现投资目标，本基金可少量投资于部分非成份股（包括主板股票、创业板股票、</w:t>
      </w:r>
      <w:proofErr w:type="gramStart"/>
      <w:r>
        <w:rPr>
          <w:bCs/>
          <w:sz w:val="24"/>
          <w:szCs w:val="24"/>
        </w:rPr>
        <w:t>科创板</w:t>
      </w:r>
      <w:proofErr w:type="gramEnd"/>
      <w:r>
        <w:rPr>
          <w:bCs/>
          <w:sz w:val="24"/>
          <w:szCs w:val="24"/>
        </w:rPr>
        <w:t>股票、存托凭证及其他经中国证监会核准或注册上市的股票）、债券资产（包括国债、金融债券、企业债券、公司债券、公开发行的次级债券、可转换公司债</w:t>
      </w:r>
      <w:proofErr w:type="gramStart"/>
      <w:r>
        <w:rPr>
          <w:bCs/>
          <w:sz w:val="24"/>
          <w:szCs w:val="24"/>
        </w:rPr>
        <w:t>券</w:t>
      </w:r>
      <w:proofErr w:type="gramEnd"/>
      <w:r>
        <w:rPr>
          <w:rFonts w:ascii="宋体" w:hAnsi="宋体" w:hint="eastAsia"/>
          <w:bCs/>
          <w:sz w:val="24"/>
          <w:szCs w:val="24"/>
        </w:rPr>
        <w:t>（含分离交易的可转换公司债</w:t>
      </w:r>
      <w:proofErr w:type="gramStart"/>
      <w:r>
        <w:rPr>
          <w:rFonts w:ascii="宋体" w:hAnsi="宋体" w:hint="eastAsia"/>
          <w:bCs/>
          <w:sz w:val="24"/>
          <w:szCs w:val="24"/>
        </w:rPr>
        <w:t>券</w:t>
      </w:r>
      <w:proofErr w:type="gramEnd"/>
      <w:r>
        <w:rPr>
          <w:rFonts w:ascii="宋体" w:hAnsi="宋体" w:hint="eastAsia"/>
          <w:bCs/>
          <w:sz w:val="24"/>
          <w:szCs w:val="24"/>
        </w:rPr>
        <w:t>）</w:t>
      </w:r>
      <w:r>
        <w:rPr>
          <w:bCs/>
          <w:sz w:val="24"/>
          <w:szCs w:val="24"/>
        </w:rPr>
        <w:t>、央行票据、短期融资</w:t>
      </w:r>
      <w:proofErr w:type="gramStart"/>
      <w:r>
        <w:rPr>
          <w:bCs/>
          <w:sz w:val="24"/>
          <w:szCs w:val="24"/>
        </w:rPr>
        <w:t>券</w:t>
      </w:r>
      <w:proofErr w:type="gramEnd"/>
      <w:r>
        <w:rPr>
          <w:bCs/>
          <w:sz w:val="24"/>
          <w:szCs w:val="24"/>
        </w:rPr>
        <w:t>、超短期融资</w:t>
      </w:r>
      <w:proofErr w:type="gramStart"/>
      <w:r>
        <w:rPr>
          <w:bCs/>
          <w:sz w:val="24"/>
          <w:szCs w:val="24"/>
        </w:rPr>
        <w:t>券</w:t>
      </w:r>
      <w:proofErr w:type="gramEnd"/>
      <w:r>
        <w:rPr>
          <w:bCs/>
          <w:sz w:val="24"/>
          <w:szCs w:val="24"/>
        </w:rPr>
        <w:t>、地方政府债券、政府支持机构债券、中期票据、可交换债券以及其他中国证监会允许投资的债券）、银行存款（包括银行定期存款、协议存款及其他银行存款）、资产支持证券、债券回购、同业存单、现金、衍生工具（股指期货、股票期权、国债期货）以及法律法规或中国证监会允许基金投资的其他金融工具，也可以根据相关法律法规参与融资及转融通证券出借业务，其目的是为了使本基金在应对申购赎回的前提下，更好地跟踪标的指数。</w:t>
      </w:r>
    </w:p>
    <w:p w14:paraId="7757549C" w14:textId="77777777" w:rsidR="00166BB1" w:rsidRDefault="00166BB1">
      <w:pPr>
        <w:tabs>
          <w:tab w:val="center" w:pos="4393"/>
        </w:tabs>
        <w:snapToGrid w:val="0"/>
        <w:spacing w:line="360" w:lineRule="auto"/>
        <w:ind w:firstLine="480"/>
        <w:rPr>
          <w:bCs/>
          <w:sz w:val="24"/>
          <w:szCs w:val="24"/>
        </w:rPr>
      </w:pPr>
      <w:r>
        <w:rPr>
          <w:bCs/>
          <w:sz w:val="24"/>
          <w:szCs w:val="24"/>
        </w:rPr>
        <w:t>本基金将根据市场的实际情况，适当调整基金资产在各类资产上的配置比例，以保证对标的指数的有效跟踪。</w:t>
      </w:r>
    </w:p>
    <w:p w14:paraId="6C55EE8A" w14:textId="77777777" w:rsidR="00166BB1" w:rsidRDefault="00166BB1">
      <w:pPr>
        <w:tabs>
          <w:tab w:val="center" w:pos="4393"/>
        </w:tabs>
        <w:snapToGrid w:val="0"/>
        <w:spacing w:line="360" w:lineRule="auto"/>
        <w:ind w:firstLine="480"/>
        <w:rPr>
          <w:bCs/>
          <w:sz w:val="24"/>
          <w:szCs w:val="24"/>
        </w:rPr>
      </w:pPr>
      <w:r>
        <w:rPr>
          <w:bCs/>
          <w:sz w:val="24"/>
          <w:szCs w:val="24"/>
        </w:rPr>
        <w:t>（二）目标</w:t>
      </w:r>
      <w:r>
        <w:rPr>
          <w:rFonts w:ascii="宋体" w:hAnsi="宋体"/>
          <w:bCs/>
          <w:sz w:val="24"/>
          <w:szCs w:val="24"/>
        </w:rPr>
        <w:t>ETF</w:t>
      </w:r>
      <w:r>
        <w:rPr>
          <w:bCs/>
          <w:sz w:val="24"/>
          <w:szCs w:val="24"/>
        </w:rPr>
        <w:t>投资策略</w:t>
      </w:r>
    </w:p>
    <w:p w14:paraId="37AD065D" w14:textId="77777777" w:rsidR="00166BB1" w:rsidRDefault="00166BB1">
      <w:pPr>
        <w:tabs>
          <w:tab w:val="center" w:pos="4393"/>
        </w:tabs>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bCs/>
          <w:sz w:val="24"/>
          <w:szCs w:val="24"/>
        </w:rPr>
        <w:t>1、投资组合的投资方式</w:t>
      </w:r>
    </w:p>
    <w:p w14:paraId="03D9FCB9" w14:textId="77777777" w:rsidR="00166BB1" w:rsidRDefault="00166BB1">
      <w:pPr>
        <w:tabs>
          <w:tab w:val="center" w:pos="4393"/>
        </w:tabs>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bCs/>
          <w:sz w:val="24"/>
          <w:szCs w:val="24"/>
        </w:rPr>
        <w:t>本基金在综合考虑合</w:t>
      </w:r>
      <w:proofErr w:type="gramStart"/>
      <w:r>
        <w:rPr>
          <w:rFonts w:asciiTheme="minorEastAsia" w:eastAsiaTheme="minorEastAsia" w:hAnsiTheme="minorEastAsia"/>
          <w:bCs/>
          <w:sz w:val="24"/>
          <w:szCs w:val="24"/>
        </w:rPr>
        <w:t>规</w:t>
      </w:r>
      <w:proofErr w:type="gramEnd"/>
      <w:r>
        <w:rPr>
          <w:rFonts w:asciiTheme="minorEastAsia" w:eastAsiaTheme="minorEastAsia" w:hAnsiTheme="minorEastAsia"/>
          <w:bCs/>
          <w:sz w:val="24"/>
          <w:szCs w:val="24"/>
        </w:rPr>
        <w:t>、风险、效率、成本等因素的基础上，决定</w:t>
      </w:r>
      <w:proofErr w:type="gramStart"/>
      <w:r>
        <w:rPr>
          <w:rFonts w:asciiTheme="minorEastAsia" w:eastAsiaTheme="minorEastAsia" w:hAnsiTheme="minorEastAsia"/>
          <w:bCs/>
          <w:sz w:val="24"/>
          <w:szCs w:val="24"/>
        </w:rPr>
        <w:t>采用申赎的</w:t>
      </w:r>
      <w:proofErr w:type="gramEnd"/>
      <w:r>
        <w:rPr>
          <w:rFonts w:asciiTheme="minorEastAsia" w:eastAsiaTheme="minorEastAsia" w:hAnsiTheme="minorEastAsia"/>
          <w:bCs/>
          <w:sz w:val="24"/>
          <w:szCs w:val="24"/>
        </w:rPr>
        <w:t>方式或证券二级市场交易的方式进行目标ETF的买卖。</w:t>
      </w:r>
    </w:p>
    <w:p w14:paraId="5CC0FE00" w14:textId="77777777" w:rsidR="00166BB1" w:rsidRDefault="00166BB1">
      <w:pPr>
        <w:tabs>
          <w:tab w:val="center" w:pos="4393"/>
        </w:tabs>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bCs/>
          <w:sz w:val="24"/>
          <w:szCs w:val="24"/>
        </w:rPr>
        <w:t>2、投资组合的调整</w:t>
      </w:r>
    </w:p>
    <w:p w14:paraId="72DD3A10" w14:textId="77777777" w:rsidR="00166BB1" w:rsidRDefault="00166BB1">
      <w:pPr>
        <w:tabs>
          <w:tab w:val="center" w:pos="4393"/>
        </w:tabs>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bCs/>
          <w:sz w:val="24"/>
          <w:szCs w:val="24"/>
        </w:rPr>
        <w:t>本基金将根据开放日申购和赎回情况，决定投资目标ETF的时间和方式。</w:t>
      </w:r>
    </w:p>
    <w:p w14:paraId="2C095F84" w14:textId="77777777" w:rsidR="00166BB1" w:rsidRDefault="00166BB1">
      <w:pPr>
        <w:tabs>
          <w:tab w:val="center" w:pos="4393"/>
        </w:tabs>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bCs/>
          <w:sz w:val="24"/>
          <w:szCs w:val="24"/>
        </w:rPr>
        <w:t>（1）</w:t>
      </w:r>
      <w:proofErr w:type="gramStart"/>
      <w:r>
        <w:rPr>
          <w:rFonts w:asciiTheme="minorEastAsia" w:eastAsiaTheme="minorEastAsia" w:hAnsiTheme="minorEastAsia"/>
          <w:bCs/>
          <w:sz w:val="24"/>
          <w:szCs w:val="24"/>
        </w:rPr>
        <w:t>当净申购</w:t>
      </w:r>
      <w:proofErr w:type="gramEnd"/>
      <w:r>
        <w:rPr>
          <w:rFonts w:asciiTheme="minorEastAsia" w:eastAsiaTheme="minorEastAsia" w:hAnsiTheme="minorEastAsia"/>
          <w:bCs/>
          <w:sz w:val="24"/>
          <w:szCs w:val="24"/>
        </w:rPr>
        <w:t>时，本基金将根据净申购规模及</w:t>
      </w:r>
      <w:proofErr w:type="gramStart"/>
      <w:r>
        <w:rPr>
          <w:rFonts w:asciiTheme="minorEastAsia" w:eastAsiaTheme="minorEastAsia" w:hAnsiTheme="minorEastAsia"/>
          <w:bCs/>
          <w:sz w:val="24"/>
          <w:szCs w:val="24"/>
        </w:rPr>
        <w:t>仓位</w:t>
      </w:r>
      <w:proofErr w:type="gramEnd"/>
      <w:r>
        <w:rPr>
          <w:rFonts w:asciiTheme="minorEastAsia" w:eastAsiaTheme="minorEastAsia" w:hAnsiTheme="minorEastAsia"/>
          <w:bCs/>
          <w:sz w:val="24"/>
          <w:szCs w:val="24"/>
        </w:rPr>
        <w:t>情况，决定股票组合的构建、目标ETF的申购或买入等；</w:t>
      </w:r>
    </w:p>
    <w:p w14:paraId="7EA20D69" w14:textId="77777777" w:rsidR="00166BB1" w:rsidRDefault="00166BB1">
      <w:pPr>
        <w:tabs>
          <w:tab w:val="center" w:pos="4393"/>
        </w:tabs>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bCs/>
          <w:sz w:val="24"/>
          <w:szCs w:val="24"/>
        </w:rPr>
        <w:t>（2）</w:t>
      </w:r>
      <w:proofErr w:type="gramStart"/>
      <w:r>
        <w:rPr>
          <w:rFonts w:asciiTheme="minorEastAsia" w:eastAsiaTheme="minorEastAsia" w:hAnsiTheme="minorEastAsia"/>
          <w:bCs/>
          <w:sz w:val="24"/>
          <w:szCs w:val="24"/>
        </w:rPr>
        <w:t>当净赎回</w:t>
      </w:r>
      <w:proofErr w:type="gramEnd"/>
      <w:r>
        <w:rPr>
          <w:rFonts w:asciiTheme="minorEastAsia" w:eastAsiaTheme="minorEastAsia" w:hAnsiTheme="minorEastAsia"/>
          <w:bCs/>
          <w:sz w:val="24"/>
          <w:szCs w:val="24"/>
        </w:rPr>
        <w:t>时，本基金将根据净赎回规模及</w:t>
      </w:r>
      <w:proofErr w:type="gramStart"/>
      <w:r>
        <w:rPr>
          <w:rFonts w:asciiTheme="minorEastAsia" w:eastAsiaTheme="minorEastAsia" w:hAnsiTheme="minorEastAsia"/>
          <w:bCs/>
          <w:sz w:val="24"/>
          <w:szCs w:val="24"/>
        </w:rPr>
        <w:t>仓位</w:t>
      </w:r>
      <w:proofErr w:type="gramEnd"/>
      <w:r>
        <w:rPr>
          <w:rFonts w:asciiTheme="minorEastAsia" w:eastAsiaTheme="minorEastAsia" w:hAnsiTheme="minorEastAsia"/>
          <w:bCs/>
          <w:sz w:val="24"/>
          <w:szCs w:val="24"/>
        </w:rPr>
        <w:t>情况，决定目标ETF的赎回或卖出等。</w:t>
      </w:r>
    </w:p>
    <w:p w14:paraId="29E979C5" w14:textId="77777777" w:rsidR="00166BB1" w:rsidRDefault="00166BB1">
      <w:pPr>
        <w:tabs>
          <w:tab w:val="center" w:pos="4393"/>
        </w:tabs>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bCs/>
          <w:sz w:val="24"/>
          <w:szCs w:val="24"/>
        </w:rPr>
        <w:lastRenderedPageBreak/>
        <w:t>（三）股票投资策略</w:t>
      </w:r>
    </w:p>
    <w:p w14:paraId="7CF14185" w14:textId="77777777" w:rsidR="00166BB1" w:rsidRDefault="00166BB1">
      <w:pPr>
        <w:tabs>
          <w:tab w:val="center" w:pos="4393"/>
        </w:tabs>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bCs/>
          <w:sz w:val="24"/>
          <w:szCs w:val="24"/>
        </w:rPr>
        <w:t>1、股票组合构建原则</w:t>
      </w:r>
    </w:p>
    <w:p w14:paraId="4E6B8C0B" w14:textId="77777777" w:rsidR="00166BB1" w:rsidRDefault="00166BB1">
      <w:pPr>
        <w:tabs>
          <w:tab w:val="center" w:pos="4393"/>
        </w:tabs>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bCs/>
          <w:sz w:val="24"/>
          <w:szCs w:val="24"/>
        </w:rPr>
        <w:t>根据标的指数，结合研究报告和基金组合的构建情况，采用被动式指数</w:t>
      </w:r>
      <w:proofErr w:type="gramStart"/>
      <w:r>
        <w:rPr>
          <w:rFonts w:asciiTheme="minorEastAsia" w:eastAsiaTheme="minorEastAsia" w:hAnsiTheme="minorEastAsia"/>
          <w:bCs/>
          <w:sz w:val="24"/>
          <w:szCs w:val="24"/>
        </w:rPr>
        <w:t>化投资</w:t>
      </w:r>
      <w:proofErr w:type="gramEnd"/>
      <w:r>
        <w:rPr>
          <w:rFonts w:asciiTheme="minorEastAsia" w:eastAsiaTheme="minorEastAsia" w:hAnsiTheme="minorEastAsia"/>
          <w:bCs/>
          <w:sz w:val="24"/>
          <w:szCs w:val="24"/>
        </w:rPr>
        <w:t>的方法构建股票组合。</w:t>
      </w:r>
    </w:p>
    <w:p w14:paraId="0EE85E3C" w14:textId="77777777" w:rsidR="00166BB1" w:rsidRDefault="00166BB1">
      <w:pPr>
        <w:tabs>
          <w:tab w:val="center" w:pos="4393"/>
        </w:tabs>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bCs/>
          <w:sz w:val="24"/>
          <w:szCs w:val="24"/>
        </w:rPr>
        <w:t>2、股票组合构建方法</w:t>
      </w:r>
    </w:p>
    <w:p w14:paraId="0373EE48" w14:textId="77777777" w:rsidR="00166BB1" w:rsidRDefault="00166BB1">
      <w:pPr>
        <w:tabs>
          <w:tab w:val="center" w:pos="4393"/>
        </w:tabs>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bCs/>
          <w:sz w:val="24"/>
          <w:szCs w:val="24"/>
        </w:rPr>
        <w:t>本基金将以追求跟踪误差最小化进行标的指数成份股和备选成份股的投资。本基金采用被动式指数</w:t>
      </w:r>
      <w:proofErr w:type="gramStart"/>
      <w:r>
        <w:rPr>
          <w:rFonts w:asciiTheme="minorEastAsia" w:eastAsiaTheme="minorEastAsia" w:hAnsiTheme="minorEastAsia"/>
          <w:bCs/>
          <w:sz w:val="24"/>
          <w:szCs w:val="24"/>
        </w:rPr>
        <w:t>化投资</w:t>
      </w:r>
      <w:proofErr w:type="gramEnd"/>
      <w:r>
        <w:rPr>
          <w:rFonts w:asciiTheme="minorEastAsia" w:eastAsiaTheme="minorEastAsia" w:hAnsiTheme="minorEastAsia"/>
          <w:bCs/>
          <w:sz w:val="24"/>
          <w:szCs w:val="24"/>
        </w:rPr>
        <w:t>的方法，根据标的指数成份股的构成及权重构建股票投资组合。如有因受成份股停牌、成份股流动性不足或其它一些影响指数复制的市场因素的限制，基金管理人可以根据市场情况，结合经验判断，对股票组合管理进行适当变通和调整，以更紧密地跟踪标的指数。</w:t>
      </w:r>
    </w:p>
    <w:p w14:paraId="1188E267" w14:textId="77777777" w:rsidR="00166BB1" w:rsidRDefault="00166BB1">
      <w:pPr>
        <w:tabs>
          <w:tab w:val="center" w:pos="4393"/>
        </w:tabs>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bCs/>
          <w:sz w:val="24"/>
          <w:szCs w:val="24"/>
        </w:rPr>
        <w:t>在本基金运作过程中，如本基金标的指数成份股发生明显负面事件面临退市风险，且指数编制机构暂未做出调整的，基金管理人按照基金份额持有人利益优先的原则，在履行内部决策程序后，通过成份股替代等方式对相关指数成份股进行调整。</w:t>
      </w:r>
    </w:p>
    <w:p w14:paraId="4B623D45" w14:textId="77777777" w:rsidR="00166BB1" w:rsidRDefault="00166BB1">
      <w:pPr>
        <w:tabs>
          <w:tab w:val="center" w:pos="4393"/>
        </w:tabs>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bCs/>
          <w:sz w:val="24"/>
          <w:szCs w:val="24"/>
        </w:rPr>
        <w:t>3、股票组合的调整</w:t>
      </w:r>
    </w:p>
    <w:p w14:paraId="12D54E38" w14:textId="77777777" w:rsidR="00166BB1" w:rsidRDefault="00166BB1">
      <w:pPr>
        <w:tabs>
          <w:tab w:val="center" w:pos="4393"/>
        </w:tabs>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bCs/>
          <w:sz w:val="24"/>
          <w:szCs w:val="24"/>
        </w:rPr>
        <w:t>（1）定期调整</w:t>
      </w:r>
    </w:p>
    <w:p w14:paraId="1C267F21" w14:textId="77777777" w:rsidR="00166BB1" w:rsidRDefault="00166BB1">
      <w:pPr>
        <w:tabs>
          <w:tab w:val="center" w:pos="4393"/>
        </w:tabs>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bCs/>
          <w:sz w:val="24"/>
          <w:szCs w:val="24"/>
        </w:rPr>
        <w:t>本基金所构建的股票组合将根据所跟踪的标的指数对其成份股的调整而进行相应的定期跟踪调整。</w:t>
      </w:r>
    </w:p>
    <w:p w14:paraId="0BE7E517" w14:textId="77777777" w:rsidR="00166BB1" w:rsidRDefault="00166BB1">
      <w:pPr>
        <w:tabs>
          <w:tab w:val="center" w:pos="4393"/>
        </w:tabs>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bCs/>
          <w:sz w:val="24"/>
          <w:szCs w:val="24"/>
        </w:rPr>
        <w:t>（2）不定期调整</w:t>
      </w:r>
    </w:p>
    <w:p w14:paraId="5A4C5D80" w14:textId="77777777" w:rsidR="00166BB1" w:rsidRDefault="00166BB1">
      <w:pPr>
        <w:tabs>
          <w:tab w:val="center" w:pos="4393"/>
        </w:tabs>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bCs/>
          <w:sz w:val="24"/>
          <w:szCs w:val="24"/>
        </w:rPr>
        <w:t>基金经理将跟踪标的指数变动，基金组合跟踪偏离度情况，结合成份股基本面情况、流动性状况、基金申购和赎回的现金流量情况以及组合投资绩效评估的结果，对投资组合进行监控和调整，密切跟踪标的指数。</w:t>
      </w:r>
    </w:p>
    <w:p w14:paraId="3EABCF8B" w14:textId="77777777" w:rsidR="00166BB1" w:rsidRDefault="00166BB1">
      <w:pPr>
        <w:tabs>
          <w:tab w:val="center" w:pos="4393"/>
        </w:tabs>
        <w:snapToGrid w:val="0"/>
        <w:spacing w:line="360" w:lineRule="auto"/>
        <w:ind w:firstLine="480"/>
        <w:rPr>
          <w:rFonts w:asciiTheme="minorEastAsia" w:eastAsiaTheme="minorEastAsia" w:hAnsiTheme="minorEastAsia"/>
          <w:bCs/>
          <w:sz w:val="24"/>
          <w:szCs w:val="24"/>
        </w:rPr>
      </w:pPr>
      <w:r>
        <w:rPr>
          <w:rFonts w:asciiTheme="minorEastAsia" w:eastAsiaTheme="minorEastAsia" w:hAnsiTheme="minorEastAsia"/>
          <w:bCs/>
          <w:sz w:val="24"/>
          <w:szCs w:val="24"/>
        </w:rPr>
        <w:t>本基金在综合考虑预期收益、风险、流动性等因素的基础上，根据审慎原则合理参与存托凭证的投资，以更好地跟踪标的指数，追求跟踪偏离度和跟踪误差的最小化。</w:t>
      </w:r>
    </w:p>
    <w:p w14:paraId="6045CB61" w14:textId="77777777" w:rsidR="00166BB1" w:rsidRDefault="00166BB1">
      <w:pPr>
        <w:tabs>
          <w:tab w:val="center" w:pos="4393"/>
        </w:tabs>
        <w:snapToGrid w:val="0"/>
        <w:spacing w:line="360" w:lineRule="auto"/>
        <w:ind w:firstLine="480"/>
        <w:rPr>
          <w:bCs/>
          <w:sz w:val="24"/>
          <w:szCs w:val="24"/>
        </w:rPr>
      </w:pPr>
      <w:r>
        <w:rPr>
          <w:rFonts w:asciiTheme="minorEastAsia" w:eastAsiaTheme="minorEastAsia" w:hAnsiTheme="minorEastAsia"/>
          <w:bCs/>
          <w:sz w:val="24"/>
          <w:szCs w:val="24"/>
        </w:rPr>
        <w:t>（四）债券投</w:t>
      </w:r>
      <w:r>
        <w:rPr>
          <w:bCs/>
          <w:sz w:val="24"/>
          <w:szCs w:val="24"/>
        </w:rPr>
        <w:t>资策略</w:t>
      </w:r>
    </w:p>
    <w:p w14:paraId="709837CE" w14:textId="77777777" w:rsidR="00166BB1" w:rsidRDefault="00166BB1">
      <w:pPr>
        <w:tabs>
          <w:tab w:val="center" w:pos="4393"/>
        </w:tabs>
        <w:snapToGrid w:val="0"/>
        <w:spacing w:line="360" w:lineRule="auto"/>
        <w:ind w:firstLine="480"/>
        <w:rPr>
          <w:bCs/>
          <w:sz w:val="24"/>
          <w:szCs w:val="24"/>
        </w:rPr>
      </w:pPr>
      <w:r>
        <w:rPr>
          <w:bCs/>
          <w:sz w:val="24"/>
          <w:szCs w:val="24"/>
        </w:rPr>
        <w:t>本基金将通过自上而下的宏观分析，结合对金融货币政策和利率趋势的判断确定债券投资组合的债券类别配置，并根据对个</w:t>
      </w:r>
      <w:proofErr w:type="gramStart"/>
      <w:r>
        <w:rPr>
          <w:bCs/>
          <w:sz w:val="24"/>
          <w:szCs w:val="24"/>
        </w:rPr>
        <w:t>券</w:t>
      </w:r>
      <w:proofErr w:type="gramEnd"/>
      <w:r>
        <w:rPr>
          <w:bCs/>
          <w:sz w:val="24"/>
          <w:szCs w:val="24"/>
        </w:rPr>
        <w:t>相对价值的比较，进行个</w:t>
      </w:r>
      <w:proofErr w:type="gramStart"/>
      <w:r>
        <w:rPr>
          <w:bCs/>
          <w:sz w:val="24"/>
          <w:szCs w:val="24"/>
        </w:rPr>
        <w:t>券</w:t>
      </w:r>
      <w:proofErr w:type="gramEnd"/>
      <w:r>
        <w:rPr>
          <w:bCs/>
          <w:sz w:val="24"/>
          <w:szCs w:val="24"/>
        </w:rPr>
        <w:t>选择和配置。债券投资的主要目的是保证基金资产的流动性，有效利用基金资产。</w:t>
      </w:r>
    </w:p>
    <w:p w14:paraId="1AA1C570" w14:textId="77777777" w:rsidR="00166BB1" w:rsidRDefault="00166BB1">
      <w:pPr>
        <w:tabs>
          <w:tab w:val="center" w:pos="4393"/>
        </w:tabs>
        <w:snapToGrid w:val="0"/>
        <w:spacing w:line="360" w:lineRule="auto"/>
        <w:ind w:firstLine="480"/>
        <w:rPr>
          <w:bCs/>
          <w:sz w:val="24"/>
          <w:szCs w:val="24"/>
        </w:rPr>
      </w:pPr>
      <w:r>
        <w:rPr>
          <w:bCs/>
          <w:sz w:val="24"/>
          <w:szCs w:val="24"/>
        </w:rPr>
        <w:t>（五）可转换公司债</w:t>
      </w:r>
      <w:proofErr w:type="gramStart"/>
      <w:r>
        <w:rPr>
          <w:bCs/>
          <w:sz w:val="24"/>
          <w:szCs w:val="24"/>
        </w:rPr>
        <w:t>券</w:t>
      </w:r>
      <w:proofErr w:type="gramEnd"/>
      <w:r>
        <w:rPr>
          <w:bCs/>
          <w:sz w:val="24"/>
          <w:szCs w:val="24"/>
        </w:rPr>
        <w:t>（含分离交易的可转换公司债</w:t>
      </w:r>
      <w:proofErr w:type="gramStart"/>
      <w:r>
        <w:rPr>
          <w:bCs/>
          <w:sz w:val="24"/>
          <w:szCs w:val="24"/>
        </w:rPr>
        <w:t>券</w:t>
      </w:r>
      <w:proofErr w:type="gramEnd"/>
      <w:r>
        <w:rPr>
          <w:bCs/>
          <w:sz w:val="24"/>
          <w:szCs w:val="24"/>
        </w:rPr>
        <w:t>）及可交换债券的投</w:t>
      </w:r>
      <w:r>
        <w:rPr>
          <w:bCs/>
          <w:sz w:val="24"/>
          <w:szCs w:val="24"/>
        </w:rPr>
        <w:lastRenderedPageBreak/>
        <w:t>资策略</w:t>
      </w:r>
    </w:p>
    <w:p w14:paraId="4B2006DE" w14:textId="77777777" w:rsidR="00166BB1" w:rsidRDefault="00166BB1">
      <w:pPr>
        <w:tabs>
          <w:tab w:val="center" w:pos="4393"/>
        </w:tabs>
        <w:snapToGrid w:val="0"/>
        <w:spacing w:line="360" w:lineRule="auto"/>
        <w:ind w:firstLine="480"/>
        <w:rPr>
          <w:bCs/>
          <w:sz w:val="24"/>
          <w:szCs w:val="24"/>
        </w:rPr>
      </w:pPr>
      <w:r>
        <w:rPr>
          <w:bCs/>
          <w:sz w:val="24"/>
          <w:szCs w:val="24"/>
        </w:rPr>
        <w:t>可转换公司债</w:t>
      </w:r>
      <w:proofErr w:type="gramStart"/>
      <w:r>
        <w:rPr>
          <w:bCs/>
          <w:sz w:val="24"/>
          <w:szCs w:val="24"/>
        </w:rPr>
        <w:t>券</w:t>
      </w:r>
      <w:proofErr w:type="gramEnd"/>
      <w:r>
        <w:rPr>
          <w:bCs/>
          <w:sz w:val="24"/>
          <w:szCs w:val="24"/>
        </w:rPr>
        <w:t>等投资品种通过赋予债券投资者某种期权的形式，兼具债券属性与权益属性，风险收益特征更加独特，相应的投资策略灵活多样。本基金将充分利用该类投资品种的特性，研究挖掘其投资价值，债券价值方面综合考虑票面利率、久期、信用资质、发行主体财务状况、行业特征及公司治理等因素；权益价值方面通过对可转换公司债</w:t>
      </w:r>
      <w:proofErr w:type="gramStart"/>
      <w:r>
        <w:rPr>
          <w:bCs/>
          <w:sz w:val="24"/>
          <w:szCs w:val="24"/>
        </w:rPr>
        <w:t>券</w:t>
      </w:r>
      <w:proofErr w:type="gramEnd"/>
      <w:r>
        <w:rPr>
          <w:bCs/>
          <w:sz w:val="24"/>
          <w:szCs w:val="24"/>
        </w:rPr>
        <w:t>所对应个股的价值分析，包括估值水平、盈利能力及预期等。此外，还需结合对含权条款的研究，以衍生品量化视角综合判断内含的期权价值。</w:t>
      </w:r>
    </w:p>
    <w:p w14:paraId="26B460CB" w14:textId="77777777" w:rsidR="00166BB1" w:rsidRDefault="00166BB1">
      <w:pPr>
        <w:tabs>
          <w:tab w:val="center" w:pos="4393"/>
        </w:tabs>
        <w:snapToGrid w:val="0"/>
        <w:spacing w:line="360" w:lineRule="auto"/>
        <w:ind w:firstLine="480"/>
        <w:rPr>
          <w:bCs/>
          <w:sz w:val="24"/>
          <w:szCs w:val="24"/>
        </w:rPr>
      </w:pPr>
      <w:r>
        <w:rPr>
          <w:bCs/>
          <w:sz w:val="24"/>
          <w:szCs w:val="24"/>
        </w:rPr>
        <w:t>可交换债券与可转换公司债</w:t>
      </w:r>
      <w:proofErr w:type="gramStart"/>
      <w:r>
        <w:rPr>
          <w:bCs/>
          <w:sz w:val="24"/>
          <w:szCs w:val="24"/>
        </w:rPr>
        <w:t>券</w:t>
      </w:r>
      <w:proofErr w:type="gramEnd"/>
      <w:r>
        <w:rPr>
          <w:bCs/>
          <w:sz w:val="24"/>
          <w:szCs w:val="24"/>
        </w:rPr>
        <w:t>的区别在于换股期间用于交换的股票并非自身新发的股票，而是发行人持有的其他上市公司的股票。可交换债券同样具有债券属性和权益属性，其中债券属性与可转换公司债</w:t>
      </w:r>
      <w:proofErr w:type="gramStart"/>
      <w:r>
        <w:rPr>
          <w:bCs/>
          <w:sz w:val="24"/>
          <w:szCs w:val="24"/>
        </w:rPr>
        <w:t>券</w:t>
      </w:r>
      <w:proofErr w:type="gramEnd"/>
      <w:r>
        <w:rPr>
          <w:bCs/>
          <w:sz w:val="24"/>
          <w:szCs w:val="24"/>
        </w:rPr>
        <w:t>相同，即选择持有可交换债券至到期以获取票面价值和票面利息；而对于权益属性的分析则需关注目标公司的股票价值以及发行人作为股东的换股意愿等。本基金将通过对目标公司股票的投资价值、可交换债券的债券价值以及条款带来的期权价值等综合分析，进行投资决策。</w:t>
      </w:r>
    </w:p>
    <w:p w14:paraId="70F22608" w14:textId="77777777" w:rsidR="00166BB1" w:rsidRDefault="00166BB1">
      <w:pPr>
        <w:tabs>
          <w:tab w:val="center" w:pos="4393"/>
        </w:tabs>
        <w:snapToGrid w:val="0"/>
        <w:spacing w:line="360" w:lineRule="auto"/>
        <w:ind w:firstLine="480"/>
        <w:rPr>
          <w:bCs/>
          <w:sz w:val="24"/>
          <w:szCs w:val="24"/>
        </w:rPr>
      </w:pPr>
      <w:r>
        <w:rPr>
          <w:bCs/>
          <w:sz w:val="24"/>
          <w:szCs w:val="24"/>
        </w:rPr>
        <w:t>（六）金融衍生</w:t>
      </w:r>
      <w:proofErr w:type="gramStart"/>
      <w:r>
        <w:rPr>
          <w:bCs/>
          <w:sz w:val="24"/>
          <w:szCs w:val="24"/>
        </w:rPr>
        <w:t>品投资</w:t>
      </w:r>
      <w:proofErr w:type="gramEnd"/>
      <w:r>
        <w:rPr>
          <w:bCs/>
          <w:sz w:val="24"/>
          <w:szCs w:val="24"/>
        </w:rPr>
        <w:t>策略</w:t>
      </w:r>
    </w:p>
    <w:p w14:paraId="14A9FC64" w14:textId="77777777" w:rsidR="00166BB1" w:rsidRDefault="00166BB1">
      <w:pPr>
        <w:tabs>
          <w:tab w:val="center" w:pos="4393"/>
        </w:tabs>
        <w:snapToGrid w:val="0"/>
        <w:spacing w:line="360" w:lineRule="auto"/>
        <w:ind w:firstLine="480"/>
        <w:rPr>
          <w:rFonts w:ascii="宋体" w:hAnsi="宋体"/>
          <w:bCs/>
          <w:sz w:val="24"/>
          <w:szCs w:val="24"/>
        </w:rPr>
      </w:pPr>
      <w:r>
        <w:rPr>
          <w:rFonts w:ascii="宋体" w:hAnsi="宋体" w:hint="eastAsia"/>
          <w:bCs/>
          <w:sz w:val="24"/>
          <w:szCs w:val="24"/>
        </w:rPr>
        <w:t>为提高投资效率，使得基金的投资组合更紧密地跟踪标的指数，更好地实现本基金的投资目标，本基金可投资于经中国证监会允许的股票期权、股指期货、国债期货。</w:t>
      </w:r>
    </w:p>
    <w:p w14:paraId="584448FD" w14:textId="77777777" w:rsidR="00166BB1" w:rsidRDefault="00166BB1">
      <w:pPr>
        <w:tabs>
          <w:tab w:val="center" w:pos="4393"/>
        </w:tabs>
        <w:snapToGrid w:val="0"/>
        <w:spacing w:line="360" w:lineRule="auto"/>
        <w:ind w:firstLine="480"/>
        <w:rPr>
          <w:rFonts w:ascii="宋体" w:hAnsi="宋体"/>
          <w:bCs/>
          <w:sz w:val="24"/>
          <w:szCs w:val="24"/>
        </w:rPr>
      </w:pPr>
      <w:r>
        <w:rPr>
          <w:rFonts w:ascii="宋体" w:hAnsi="宋体" w:hint="eastAsia"/>
          <w:bCs/>
          <w:sz w:val="24"/>
          <w:szCs w:val="24"/>
        </w:rPr>
        <w:t>1、股指期货投资策略</w:t>
      </w:r>
    </w:p>
    <w:p w14:paraId="4EB108BF" w14:textId="77777777" w:rsidR="00166BB1" w:rsidRDefault="00166BB1">
      <w:pPr>
        <w:tabs>
          <w:tab w:val="center" w:pos="4393"/>
        </w:tabs>
        <w:snapToGrid w:val="0"/>
        <w:spacing w:line="360" w:lineRule="auto"/>
        <w:ind w:firstLine="480"/>
        <w:rPr>
          <w:rFonts w:ascii="宋体" w:hAnsi="宋体"/>
          <w:bCs/>
          <w:sz w:val="24"/>
          <w:szCs w:val="24"/>
        </w:rPr>
      </w:pPr>
      <w:r>
        <w:rPr>
          <w:rFonts w:ascii="宋体" w:hAnsi="宋体" w:hint="eastAsia"/>
          <w:bCs/>
          <w:sz w:val="24"/>
          <w:szCs w:val="24"/>
        </w:rPr>
        <w:t>本基金投资股指期货将根据风险管理的原则，以套期保值为目的，主要选择流动性好、交易活跃的股指期货合约。本基金力争利用股指期货的杠杆作用，降低股票</w:t>
      </w:r>
      <w:proofErr w:type="gramStart"/>
      <w:r>
        <w:rPr>
          <w:rFonts w:ascii="宋体" w:hAnsi="宋体" w:hint="eastAsia"/>
          <w:bCs/>
          <w:sz w:val="24"/>
          <w:szCs w:val="24"/>
        </w:rPr>
        <w:t>仓位</w:t>
      </w:r>
      <w:proofErr w:type="gramEnd"/>
      <w:r>
        <w:rPr>
          <w:rFonts w:ascii="宋体" w:hAnsi="宋体" w:hint="eastAsia"/>
          <w:bCs/>
          <w:sz w:val="24"/>
          <w:szCs w:val="24"/>
        </w:rPr>
        <w:t>频繁调整的交易成本和跟踪误差，达到有效跟踪标的指数的目的。</w:t>
      </w:r>
    </w:p>
    <w:p w14:paraId="78A9645F" w14:textId="77777777" w:rsidR="00166BB1" w:rsidRDefault="00166BB1">
      <w:pPr>
        <w:tabs>
          <w:tab w:val="center" w:pos="4393"/>
        </w:tabs>
        <w:snapToGrid w:val="0"/>
        <w:spacing w:line="360" w:lineRule="auto"/>
        <w:ind w:firstLine="480"/>
        <w:rPr>
          <w:rFonts w:ascii="宋体" w:hAnsi="宋体"/>
          <w:bCs/>
          <w:sz w:val="24"/>
          <w:szCs w:val="24"/>
        </w:rPr>
      </w:pPr>
      <w:r>
        <w:rPr>
          <w:rFonts w:ascii="宋体" w:hAnsi="宋体" w:hint="eastAsia"/>
          <w:bCs/>
          <w:sz w:val="24"/>
          <w:szCs w:val="24"/>
        </w:rPr>
        <w:t>2、股票期权投资策略</w:t>
      </w:r>
    </w:p>
    <w:p w14:paraId="157C7A50" w14:textId="77777777" w:rsidR="00166BB1" w:rsidRDefault="00166BB1">
      <w:pPr>
        <w:tabs>
          <w:tab w:val="center" w:pos="4393"/>
        </w:tabs>
        <w:snapToGrid w:val="0"/>
        <w:spacing w:line="360" w:lineRule="auto"/>
        <w:ind w:firstLine="480"/>
        <w:rPr>
          <w:rFonts w:ascii="宋体" w:hAnsi="宋体"/>
          <w:bCs/>
          <w:sz w:val="24"/>
          <w:szCs w:val="24"/>
        </w:rPr>
      </w:pPr>
      <w:r>
        <w:rPr>
          <w:rFonts w:ascii="宋体" w:hAnsi="宋体" w:hint="eastAsia"/>
          <w:bCs/>
          <w:sz w:val="24"/>
          <w:szCs w:val="24"/>
        </w:rPr>
        <w:t>本基金将按照风险管理的原则，以套期保值为主要目的参与股票期权交易。本基金将结合投资目标、比例限制、风险收益特征以及法律法规的相关限定和要求，确定参与股票期权交易的投资时机和投资比例。</w:t>
      </w:r>
    </w:p>
    <w:p w14:paraId="636D14D2" w14:textId="77777777" w:rsidR="00166BB1" w:rsidRDefault="00166BB1">
      <w:pPr>
        <w:tabs>
          <w:tab w:val="center" w:pos="4393"/>
        </w:tabs>
        <w:snapToGrid w:val="0"/>
        <w:spacing w:line="360" w:lineRule="auto"/>
        <w:ind w:firstLine="480"/>
        <w:rPr>
          <w:rFonts w:ascii="宋体" w:hAnsi="宋体"/>
          <w:bCs/>
          <w:sz w:val="24"/>
          <w:szCs w:val="24"/>
        </w:rPr>
      </w:pPr>
      <w:r>
        <w:rPr>
          <w:rFonts w:ascii="宋体" w:hAnsi="宋体" w:hint="eastAsia"/>
          <w:bCs/>
          <w:sz w:val="24"/>
          <w:szCs w:val="24"/>
        </w:rPr>
        <w:t>3、国债期货投资策略</w:t>
      </w:r>
    </w:p>
    <w:p w14:paraId="6AC49A3F" w14:textId="77777777" w:rsidR="00166BB1" w:rsidRDefault="00166BB1">
      <w:pPr>
        <w:tabs>
          <w:tab w:val="center" w:pos="4393"/>
        </w:tabs>
        <w:snapToGrid w:val="0"/>
        <w:spacing w:line="360" w:lineRule="auto"/>
        <w:ind w:firstLine="480"/>
        <w:rPr>
          <w:rFonts w:ascii="宋体" w:hAnsi="宋体"/>
          <w:bCs/>
          <w:sz w:val="24"/>
          <w:szCs w:val="24"/>
        </w:rPr>
      </w:pPr>
      <w:r>
        <w:rPr>
          <w:rFonts w:ascii="宋体" w:hAnsi="宋体" w:hint="eastAsia"/>
          <w:bCs/>
          <w:sz w:val="24"/>
          <w:szCs w:val="24"/>
        </w:rPr>
        <w:t>本基金投资国债期货将根据风险管理的原则，以套期保值为目的，主要选择流动性好、交易活跃的国债期货合约。通过对债券市场和期货市场运行趋势的研</w:t>
      </w:r>
      <w:r>
        <w:rPr>
          <w:rFonts w:ascii="宋体" w:hAnsi="宋体" w:hint="eastAsia"/>
          <w:bCs/>
          <w:sz w:val="24"/>
          <w:szCs w:val="24"/>
        </w:rPr>
        <w:lastRenderedPageBreak/>
        <w:t>究，结合国债期货的定价模型寻求其合理的估值水平，与现货资产进行匹配，通过多头或空头套期保值等策略进行套期保值操作。基金管理人将充分考虑国债期货的收益性、流动性及风险性特征，运用国债期货对冲系统性风险以及特殊情况下的流动性风险，如大额申购赎回等；利用金融衍生品的杠杆作用，以达到降低投资组合的整体风险的目的。</w:t>
      </w:r>
    </w:p>
    <w:p w14:paraId="135E5A8D" w14:textId="77777777" w:rsidR="00166BB1" w:rsidRDefault="00166BB1">
      <w:pPr>
        <w:tabs>
          <w:tab w:val="center" w:pos="4393"/>
        </w:tabs>
        <w:snapToGrid w:val="0"/>
        <w:spacing w:line="360" w:lineRule="auto"/>
        <w:ind w:firstLine="480"/>
        <w:rPr>
          <w:rFonts w:ascii="宋体" w:hAnsi="宋体"/>
          <w:bCs/>
          <w:sz w:val="24"/>
          <w:szCs w:val="24"/>
        </w:rPr>
      </w:pPr>
      <w:r>
        <w:rPr>
          <w:rFonts w:ascii="宋体" w:hAnsi="宋体" w:hint="eastAsia"/>
          <w:bCs/>
          <w:sz w:val="24"/>
          <w:szCs w:val="24"/>
        </w:rPr>
        <w:t>（七）资产支持证券投资策略</w:t>
      </w:r>
    </w:p>
    <w:p w14:paraId="25C489D9" w14:textId="77777777" w:rsidR="00166BB1" w:rsidRDefault="00166BB1">
      <w:pPr>
        <w:tabs>
          <w:tab w:val="center" w:pos="4393"/>
        </w:tabs>
        <w:snapToGrid w:val="0"/>
        <w:spacing w:line="360" w:lineRule="auto"/>
        <w:ind w:firstLine="480"/>
        <w:rPr>
          <w:rFonts w:ascii="宋体" w:hAnsi="宋体"/>
          <w:bCs/>
          <w:sz w:val="24"/>
          <w:szCs w:val="24"/>
        </w:rPr>
      </w:pPr>
      <w:r>
        <w:rPr>
          <w:rFonts w:ascii="宋体" w:hAnsi="宋体" w:hint="eastAsia"/>
          <w:bCs/>
          <w:sz w:val="24"/>
          <w:szCs w:val="24"/>
        </w:rPr>
        <w:t>本基金将深入分析资产支持证券的市场利率、发行条款、支持资产的构成及质量、提前偿还率、风险补偿收益和市场流动性等基本面因素，估计资产违约风险和提前偿付风险，并根据资产证券化的收益结构安排，模拟资产支持证券的本金偿还和利息收益的现金流过程，辅助采用蒙特卡洛方法等数量化定价模型，评估其内在价值。</w:t>
      </w:r>
    </w:p>
    <w:p w14:paraId="7FE90D44" w14:textId="77777777" w:rsidR="00166BB1" w:rsidRDefault="00166BB1">
      <w:pPr>
        <w:tabs>
          <w:tab w:val="center" w:pos="4393"/>
        </w:tabs>
        <w:snapToGrid w:val="0"/>
        <w:spacing w:line="360" w:lineRule="auto"/>
        <w:ind w:firstLine="480"/>
        <w:rPr>
          <w:rFonts w:ascii="宋体" w:hAnsi="宋体"/>
          <w:bCs/>
          <w:sz w:val="24"/>
          <w:szCs w:val="24"/>
        </w:rPr>
      </w:pPr>
      <w:r>
        <w:rPr>
          <w:rFonts w:ascii="宋体" w:hAnsi="宋体" w:hint="eastAsia"/>
          <w:bCs/>
          <w:sz w:val="24"/>
          <w:szCs w:val="24"/>
        </w:rPr>
        <w:t>（八）参与融资及转融通证券出借业务策略</w:t>
      </w:r>
    </w:p>
    <w:p w14:paraId="2AAED5D4" w14:textId="77777777" w:rsidR="00166BB1" w:rsidRDefault="00166BB1">
      <w:pPr>
        <w:tabs>
          <w:tab w:val="center" w:pos="4393"/>
        </w:tabs>
        <w:snapToGrid w:val="0"/>
        <w:spacing w:line="360" w:lineRule="auto"/>
        <w:ind w:firstLine="480"/>
        <w:rPr>
          <w:rFonts w:ascii="宋体" w:hAnsi="宋体"/>
          <w:bCs/>
          <w:sz w:val="24"/>
          <w:szCs w:val="24"/>
        </w:rPr>
      </w:pPr>
      <w:r>
        <w:rPr>
          <w:rFonts w:ascii="宋体" w:hAnsi="宋体" w:hint="eastAsia"/>
          <w:bCs/>
          <w:sz w:val="24"/>
          <w:szCs w:val="24"/>
        </w:rPr>
        <w:t>为更好的实现投资目标，在加强风险防范并遵守审慎性原则的前提下，本基金可根据投资管理的需要参与融资及转融通证券出借业务。本基金将在分析市场情况、投资者类型与结构、基金历史</w:t>
      </w:r>
      <w:proofErr w:type="gramStart"/>
      <w:r>
        <w:rPr>
          <w:rFonts w:ascii="宋体" w:hAnsi="宋体" w:hint="eastAsia"/>
          <w:bCs/>
          <w:sz w:val="24"/>
          <w:szCs w:val="24"/>
        </w:rPr>
        <w:t>申赎情况</w:t>
      </w:r>
      <w:proofErr w:type="gramEnd"/>
      <w:r>
        <w:rPr>
          <w:rFonts w:ascii="宋体" w:hAnsi="宋体" w:hint="eastAsia"/>
          <w:bCs/>
          <w:sz w:val="24"/>
          <w:szCs w:val="24"/>
        </w:rPr>
        <w:t>及出借证券流动性情况等因素的基础上，合理确定出借证券的范围、证券出借平均剩余期限和出借证券在基金资产中的占比。</w:t>
      </w:r>
    </w:p>
    <w:p w14:paraId="104DDDB1" w14:textId="77777777" w:rsidR="00166BB1" w:rsidRDefault="00166BB1">
      <w:pPr>
        <w:tabs>
          <w:tab w:val="center" w:pos="4393"/>
        </w:tabs>
        <w:snapToGrid w:val="0"/>
        <w:spacing w:line="360" w:lineRule="auto"/>
        <w:ind w:firstLine="480"/>
        <w:rPr>
          <w:rFonts w:ascii="宋体" w:hAnsi="宋体"/>
          <w:bCs/>
          <w:sz w:val="24"/>
          <w:szCs w:val="24"/>
        </w:rPr>
      </w:pPr>
      <w:r>
        <w:rPr>
          <w:rFonts w:ascii="宋体" w:hAnsi="宋体" w:hint="eastAsia"/>
          <w:bCs/>
          <w:sz w:val="24"/>
          <w:szCs w:val="24"/>
        </w:rPr>
        <w:t>（九）未来，随着市场的发展和基金管理运作的需要，基金管理人可以在不改变投资目标的前提下，遵循法律法规的规定，履行适当程序后，相应调整或更新投资策略，并在招募说明书更新中公告。</w:t>
      </w:r>
    </w:p>
    <w:p w14:paraId="163E8135" w14:textId="77777777" w:rsidR="00166BB1" w:rsidRDefault="00166BB1">
      <w:pPr>
        <w:adjustRightInd w:val="0"/>
        <w:snapToGrid w:val="0"/>
        <w:spacing w:line="360" w:lineRule="auto"/>
        <w:ind w:firstLineChars="200" w:firstLine="480"/>
        <w:rPr>
          <w:rFonts w:ascii="宋体" w:hAnsi="宋体"/>
          <w:bCs/>
          <w:sz w:val="24"/>
          <w:szCs w:val="24"/>
          <w:lang w:val="zh-CN"/>
        </w:rPr>
      </w:pPr>
      <w:r>
        <w:rPr>
          <w:rFonts w:ascii="宋体" w:hAnsi="宋体"/>
          <w:bCs/>
          <w:sz w:val="24"/>
          <w:szCs w:val="24"/>
        </w:rPr>
        <w:t>四、投资限制</w:t>
      </w:r>
    </w:p>
    <w:p w14:paraId="76EF80AD" w14:textId="77777777" w:rsidR="00166BB1" w:rsidRDefault="00166BB1">
      <w:pPr>
        <w:snapToGrid w:val="0"/>
        <w:spacing w:line="360" w:lineRule="auto"/>
        <w:ind w:firstLine="480"/>
        <w:rPr>
          <w:bCs/>
          <w:sz w:val="24"/>
        </w:rPr>
      </w:pPr>
      <w:r>
        <w:rPr>
          <w:rFonts w:ascii="宋体" w:hAnsi="宋体" w:hint="eastAsia"/>
          <w:sz w:val="24"/>
          <w:szCs w:val="24"/>
        </w:rPr>
        <w:t>（一）</w:t>
      </w:r>
      <w:r>
        <w:rPr>
          <w:bCs/>
          <w:sz w:val="24"/>
        </w:rPr>
        <w:t>组合限制</w:t>
      </w:r>
    </w:p>
    <w:p w14:paraId="5D28766A" w14:textId="77777777" w:rsidR="00166BB1" w:rsidRDefault="00166BB1">
      <w:pPr>
        <w:snapToGrid w:val="0"/>
        <w:spacing w:line="360" w:lineRule="auto"/>
        <w:ind w:firstLine="480"/>
        <w:rPr>
          <w:rFonts w:ascii="宋体" w:hAnsi="宋体"/>
          <w:sz w:val="24"/>
          <w:szCs w:val="24"/>
        </w:rPr>
      </w:pPr>
      <w:r>
        <w:rPr>
          <w:rFonts w:ascii="宋体" w:hAnsi="宋体" w:hint="eastAsia"/>
          <w:sz w:val="24"/>
          <w:szCs w:val="24"/>
        </w:rPr>
        <w:t>基金的投资组合应遵循以下限制：</w:t>
      </w:r>
    </w:p>
    <w:p w14:paraId="7453AD3A" w14:textId="77777777" w:rsidR="00166BB1" w:rsidRDefault="00166BB1">
      <w:pPr>
        <w:snapToGrid w:val="0"/>
        <w:spacing w:line="360" w:lineRule="auto"/>
        <w:ind w:firstLine="480"/>
        <w:rPr>
          <w:rFonts w:ascii="宋体" w:hAnsi="宋体"/>
          <w:sz w:val="24"/>
          <w:szCs w:val="24"/>
        </w:rPr>
      </w:pPr>
      <w:r>
        <w:rPr>
          <w:rFonts w:ascii="宋体" w:hAnsi="宋体" w:hint="eastAsia"/>
          <w:sz w:val="24"/>
          <w:szCs w:val="24"/>
        </w:rPr>
        <w:t>1、本基金持有的目标ETF的比例不得低于基金资产净值的90%；</w:t>
      </w:r>
    </w:p>
    <w:p w14:paraId="4929796A" w14:textId="77777777" w:rsidR="00166BB1" w:rsidRDefault="00166BB1">
      <w:pPr>
        <w:snapToGrid w:val="0"/>
        <w:spacing w:line="360" w:lineRule="auto"/>
        <w:ind w:firstLine="480"/>
        <w:rPr>
          <w:rFonts w:ascii="宋体" w:hAnsi="宋体"/>
          <w:sz w:val="24"/>
          <w:szCs w:val="24"/>
        </w:rPr>
      </w:pPr>
      <w:r>
        <w:rPr>
          <w:rFonts w:ascii="宋体" w:hAnsi="宋体" w:hint="eastAsia"/>
          <w:sz w:val="24"/>
          <w:szCs w:val="24"/>
        </w:rPr>
        <w:t>2、本基金每个交易日日终在扣除股指期货合约、股票期权合约和国债期货合约需缴纳的交易保证金后，保持不低于基金资产净值5%的现金或者到期日在一年以内的政府债券，其中现金不包括结算备付金、存出保证金和应收申购款等；</w:t>
      </w:r>
    </w:p>
    <w:p w14:paraId="5723AE59" w14:textId="77777777" w:rsidR="00166BB1" w:rsidRDefault="00166BB1">
      <w:pPr>
        <w:snapToGrid w:val="0"/>
        <w:spacing w:line="360" w:lineRule="auto"/>
        <w:ind w:firstLine="480"/>
        <w:rPr>
          <w:rFonts w:ascii="宋体" w:hAnsi="宋体"/>
          <w:sz w:val="24"/>
          <w:szCs w:val="24"/>
        </w:rPr>
      </w:pPr>
      <w:r>
        <w:rPr>
          <w:rFonts w:ascii="宋体" w:hAnsi="宋体" w:hint="eastAsia"/>
          <w:sz w:val="24"/>
          <w:szCs w:val="24"/>
        </w:rPr>
        <w:t>3、本基金投资于股指期货的，需遵循以下投资比例限制：</w:t>
      </w:r>
    </w:p>
    <w:p w14:paraId="0EE47A2E" w14:textId="77777777" w:rsidR="00166BB1" w:rsidRDefault="00166BB1">
      <w:pPr>
        <w:snapToGrid w:val="0"/>
        <w:spacing w:line="360" w:lineRule="auto"/>
        <w:ind w:firstLine="480"/>
        <w:rPr>
          <w:rFonts w:ascii="宋体" w:hAnsi="宋体"/>
          <w:sz w:val="24"/>
          <w:szCs w:val="24"/>
        </w:rPr>
      </w:pPr>
      <w:r>
        <w:rPr>
          <w:rFonts w:ascii="宋体" w:hAnsi="宋体" w:hint="eastAsia"/>
          <w:sz w:val="24"/>
          <w:szCs w:val="24"/>
        </w:rPr>
        <w:t>在任何交易日日终，持有的买入股指期货合约价值，不得超过基金资产净值的10%；基金在任何交易日日终，持有的卖出期货合约价值不得超过基金持有的</w:t>
      </w:r>
      <w:r>
        <w:rPr>
          <w:rFonts w:ascii="宋体" w:hAnsi="宋体" w:hint="eastAsia"/>
          <w:sz w:val="24"/>
          <w:szCs w:val="24"/>
        </w:rPr>
        <w:lastRenderedPageBreak/>
        <w:t>股票和目标ETF总市值的20%；本基金所持有的股票市值和买入、卖出股指期货合约价值，合计（轧差计算）应当符合基金合同关于股票投资比例的有关约定；在任何交易日内交易（不包括平仓）的股指期货合约的成交金额不得超过上一交易日基金资产净值的20%；</w:t>
      </w:r>
    </w:p>
    <w:p w14:paraId="6E2FF520" w14:textId="77777777" w:rsidR="00166BB1" w:rsidRDefault="00166BB1">
      <w:pPr>
        <w:snapToGrid w:val="0"/>
        <w:spacing w:line="360" w:lineRule="auto"/>
        <w:ind w:firstLine="480"/>
        <w:rPr>
          <w:rFonts w:ascii="宋体" w:hAnsi="宋体"/>
          <w:sz w:val="24"/>
          <w:szCs w:val="24"/>
        </w:rPr>
      </w:pPr>
      <w:r>
        <w:rPr>
          <w:rFonts w:ascii="宋体" w:hAnsi="宋体" w:hint="eastAsia"/>
          <w:sz w:val="24"/>
          <w:szCs w:val="24"/>
        </w:rPr>
        <w:t>4、本基金参与股票期权交易的，需遵守下列投资比例限制：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基金投资股票期权符合基金合同约定的比例限制（如股票</w:t>
      </w:r>
      <w:proofErr w:type="gramStart"/>
      <w:r>
        <w:rPr>
          <w:rFonts w:ascii="宋体" w:hAnsi="宋体" w:hint="eastAsia"/>
          <w:sz w:val="24"/>
          <w:szCs w:val="24"/>
        </w:rPr>
        <w:t>仓位</w:t>
      </w:r>
      <w:proofErr w:type="gramEnd"/>
      <w:r>
        <w:rPr>
          <w:rFonts w:ascii="宋体" w:hAnsi="宋体" w:hint="eastAsia"/>
          <w:sz w:val="24"/>
          <w:szCs w:val="24"/>
        </w:rPr>
        <w:t>、个股占比等）、投资目标和风险收益特征；</w:t>
      </w:r>
    </w:p>
    <w:p w14:paraId="40DBB23A" w14:textId="77777777" w:rsidR="00166BB1" w:rsidRDefault="00166BB1">
      <w:pPr>
        <w:snapToGrid w:val="0"/>
        <w:spacing w:line="360" w:lineRule="auto"/>
        <w:ind w:firstLine="480"/>
        <w:rPr>
          <w:rFonts w:ascii="宋体" w:hAnsi="宋体"/>
          <w:sz w:val="24"/>
          <w:szCs w:val="24"/>
        </w:rPr>
      </w:pPr>
      <w:r>
        <w:rPr>
          <w:rFonts w:ascii="宋体" w:hAnsi="宋体" w:hint="eastAsia"/>
          <w:sz w:val="24"/>
          <w:szCs w:val="24"/>
        </w:rPr>
        <w:t>5、本基金参与国债期货交易的，需遵守下列投资比例限制：</w:t>
      </w:r>
    </w:p>
    <w:p w14:paraId="47514099" w14:textId="77777777" w:rsidR="00166BB1" w:rsidRDefault="00166BB1">
      <w:pPr>
        <w:snapToGrid w:val="0"/>
        <w:spacing w:line="360" w:lineRule="auto"/>
        <w:ind w:firstLine="480"/>
        <w:rPr>
          <w:rFonts w:ascii="宋体" w:hAnsi="宋体"/>
          <w:sz w:val="24"/>
          <w:szCs w:val="24"/>
        </w:rPr>
      </w:pPr>
      <w:r>
        <w:rPr>
          <w:rFonts w:ascii="宋体" w:hAnsi="宋体" w:hint="eastAsia"/>
          <w:sz w:val="24"/>
          <w:szCs w:val="24"/>
        </w:rPr>
        <w:t>本基金在任何交易日日终，持有的买入国债期货合约价值，不得超过基金资产净值的15%；本基金在任何交易日日终，持有的卖出国债期货合约价值不得超过基金持有的债券总市值的30%；本基金在任何交易日内交易（不包括平仓）的国债期货合约的成交金额不得超过上一交易日基金资产净值的30%；本基金所持有的债券（不含到期日在一年以内的政府债券）市值和买入、卖出国债期货合约价值，合计（轧差计算）应当符合基金合同关于债券投资比例的有关约定；</w:t>
      </w:r>
    </w:p>
    <w:p w14:paraId="13280C25" w14:textId="77777777" w:rsidR="00166BB1" w:rsidRDefault="00166BB1">
      <w:pPr>
        <w:snapToGrid w:val="0"/>
        <w:spacing w:line="360" w:lineRule="auto"/>
        <w:ind w:firstLine="480"/>
        <w:rPr>
          <w:rFonts w:ascii="宋体" w:hAnsi="宋体"/>
          <w:sz w:val="24"/>
          <w:szCs w:val="24"/>
        </w:rPr>
      </w:pPr>
      <w:r>
        <w:rPr>
          <w:rFonts w:ascii="宋体" w:hAnsi="宋体" w:hint="eastAsia"/>
          <w:sz w:val="24"/>
          <w:szCs w:val="24"/>
        </w:rPr>
        <w:t>6、本基金参与股指期货或国债期货交易的，在任何交易日日终，持有的买入国债期货和股指期货合约价值与有价证券市值之和，不得超过基金资产净值的100%，其中，有价证券指股票、目标ETF、债券（不含到期日在一年以内的政府债券）、资产支持证券、买入返售金融资产（不含质押式回购）等；</w:t>
      </w:r>
    </w:p>
    <w:p w14:paraId="0266A3C3" w14:textId="77777777" w:rsidR="00166BB1" w:rsidRDefault="00166BB1">
      <w:pPr>
        <w:snapToGrid w:val="0"/>
        <w:spacing w:line="360" w:lineRule="auto"/>
        <w:ind w:firstLine="480"/>
        <w:rPr>
          <w:rFonts w:ascii="宋体" w:hAnsi="宋体"/>
          <w:sz w:val="24"/>
          <w:szCs w:val="24"/>
        </w:rPr>
      </w:pPr>
      <w:r>
        <w:rPr>
          <w:rFonts w:ascii="宋体" w:hAnsi="宋体"/>
          <w:sz w:val="24"/>
          <w:szCs w:val="24"/>
        </w:rPr>
        <w:t>7</w:t>
      </w:r>
      <w:r>
        <w:rPr>
          <w:rFonts w:ascii="宋体" w:hAnsi="宋体" w:hint="eastAsia"/>
          <w:sz w:val="24"/>
          <w:szCs w:val="24"/>
        </w:rPr>
        <w:t>、基金财产参与股票发行申购，本基金所申报的金额不超过本基金的总资产，本基金所申报的股票数量不超过拟发行股票公司本次发行股票的总量；</w:t>
      </w:r>
    </w:p>
    <w:p w14:paraId="36A52BC9" w14:textId="77777777" w:rsidR="00166BB1" w:rsidRDefault="00166BB1">
      <w:pPr>
        <w:snapToGrid w:val="0"/>
        <w:spacing w:line="360" w:lineRule="auto"/>
        <w:ind w:firstLine="480"/>
        <w:rPr>
          <w:rFonts w:ascii="宋体" w:hAnsi="宋体"/>
          <w:sz w:val="24"/>
          <w:szCs w:val="24"/>
        </w:rPr>
      </w:pPr>
      <w:r>
        <w:rPr>
          <w:rFonts w:ascii="宋体" w:hAnsi="宋体"/>
          <w:sz w:val="24"/>
          <w:szCs w:val="24"/>
        </w:rPr>
        <w:t>8</w:t>
      </w:r>
      <w:r>
        <w:rPr>
          <w:rFonts w:ascii="宋体" w:hAnsi="宋体" w:hint="eastAsia"/>
          <w:sz w:val="24"/>
          <w:szCs w:val="24"/>
        </w:rPr>
        <w:t>、本基金资产总值不超过基金资产净值的140%；</w:t>
      </w:r>
    </w:p>
    <w:p w14:paraId="798D7D7C" w14:textId="77777777" w:rsidR="00166BB1" w:rsidRDefault="00166BB1">
      <w:pPr>
        <w:snapToGrid w:val="0"/>
        <w:spacing w:line="360" w:lineRule="auto"/>
        <w:ind w:firstLine="480"/>
        <w:rPr>
          <w:rFonts w:ascii="宋体" w:hAnsi="宋体"/>
          <w:sz w:val="24"/>
          <w:szCs w:val="24"/>
        </w:rPr>
      </w:pPr>
      <w:r>
        <w:rPr>
          <w:rFonts w:ascii="宋体" w:hAnsi="宋体"/>
          <w:sz w:val="24"/>
          <w:szCs w:val="24"/>
        </w:rPr>
        <w:t>9</w:t>
      </w:r>
      <w:r>
        <w:rPr>
          <w:rFonts w:ascii="宋体" w:hAnsi="宋体" w:hint="eastAsia"/>
          <w:sz w:val="24"/>
          <w:szCs w:val="24"/>
        </w:rPr>
        <w:t>、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4413E91F" w14:textId="77777777" w:rsidR="00166BB1" w:rsidRDefault="00166BB1">
      <w:pPr>
        <w:snapToGrid w:val="0"/>
        <w:spacing w:line="360" w:lineRule="auto"/>
        <w:ind w:firstLine="480"/>
        <w:rPr>
          <w:rFonts w:ascii="宋体" w:hAnsi="宋体"/>
          <w:sz w:val="24"/>
          <w:szCs w:val="24"/>
        </w:rPr>
      </w:pPr>
      <w:r>
        <w:rPr>
          <w:rFonts w:ascii="宋体" w:hAnsi="宋体"/>
          <w:sz w:val="24"/>
          <w:szCs w:val="24"/>
        </w:rPr>
        <w:t>10</w:t>
      </w:r>
      <w:r>
        <w:rPr>
          <w:rFonts w:ascii="宋体" w:hAnsi="宋体" w:hint="eastAsia"/>
          <w:sz w:val="24"/>
          <w:szCs w:val="24"/>
        </w:rPr>
        <w:t>、本基金与私募类</w:t>
      </w:r>
      <w:proofErr w:type="gramStart"/>
      <w:r>
        <w:rPr>
          <w:rFonts w:ascii="宋体" w:hAnsi="宋体" w:hint="eastAsia"/>
          <w:sz w:val="24"/>
          <w:szCs w:val="24"/>
        </w:rPr>
        <w:t>证券资管产品</w:t>
      </w:r>
      <w:proofErr w:type="gramEnd"/>
      <w:r>
        <w:rPr>
          <w:rFonts w:ascii="宋体" w:hAnsi="宋体" w:hint="eastAsia"/>
          <w:sz w:val="24"/>
          <w:szCs w:val="24"/>
        </w:rPr>
        <w:t>及中国证监会认定的其他主体为交易对手</w:t>
      </w:r>
      <w:r>
        <w:rPr>
          <w:rFonts w:ascii="宋体" w:hAnsi="宋体" w:hint="eastAsia"/>
          <w:sz w:val="24"/>
          <w:szCs w:val="24"/>
        </w:rPr>
        <w:lastRenderedPageBreak/>
        <w:t>开展逆回购交易的，可接受质押品的资质要求应当与基金合同约定的投资范围保持一致；</w:t>
      </w:r>
    </w:p>
    <w:p w14:paraId="4AE31377" w14:textId="77777777" w:rsidR="00166BB1" w:rsidRDefault="00166BB1">
      <w:pPr>
        <w:snapToGrid w:val="0"/>
        <w:spacing w:line="360" w:lineRule="auto"/>
        <w:ind w:firstLine="480"/>
        <w:rPr>
          <w:rFonts w:ascii="宋体" w:hAnsi="宋体"/>
          <w:sz w:val="24"/>
          <w:szCs w:val="24"/>
        </w:rPr>
      </w:pPr>
      <w:r>
        <w:rPr>
          <w:rFonts w:ascii="宋体" w:hAnsi="宋体"/>
          <w:sz w:val="24"/>
          <w:szCs w:val="24"/>
        </w:rPr>
        <w:t>11</w:t>
      </w:r>
      <w:r>
        <w:rPr>
          <w:rFonts w:ascii="宋体" w:hAnsi="宋体" w:hint="eastAsia"/>
          <w:sz w:val="24"/>
          <w:szCs w:val="24"/>
        </w:rPr>
        <w:t>、本基金参与融资的，每个交易日日终，本基金持有的融资买入股票与其他有价证券市值之和，不得超过基金资产净值的95%；</w:t>
      </w:r>
    </w:p>
    <w:p w14:paraId="046EA7D5" w14:textId="77777777" w:rsidR="00166BB1" w:rsidRDefault="00166BB1">
      <w:pPr>
        <w:snapToGrid w:val="0"/>
        <w:spacing w:line="360" w:lineRule="auto"/>
        <w:ind w:firstLine="480"/>
        <w:rPr>
          <w:rFonts w:ascii="宋体" w:hAnsi="宋体"/>
          <w:sz w:val="24"/>
          <w:szCs w:val="24"/>
        </w:rPr>
      </w:pPr>
      <w:r>
        <w:rPr>
          <w:rFonts w:ascii="宋体" w:hAnsi="宋体"/>
          <w:sz w:val="24"/>
          <w:szCs w:val="24"/>
        </w:rPr>
        <w:t>12</w:t>
      </w:r>
      <w:r>
        <w:rPr>
          <w:rFonts w:ascii="宋体" w:hAnsi="宋体" w:hint="eastAsia"/>
          <w:sz w:val="24"/>
          <w:szCs w:val="24"/>
        </w:rPr>
        <w:t>、本基金参与转融通证券出借业务的，应当符合下列要求：</w:t>
      </w:r>
    </w:p>
    <w:p w14:paraId="24294390" w14:textId="77777777" w:rsidR="00166BB1" w:rsidRDefault="00166BB1">
      <w:pPr>
        <w:snapToGrid w:val="0"/>
        <w:spacing w:line="360" w:lineRule="auto"/>
        <w:ind w:firstLine="480"/>
        <w:rPr>
          <w:rFonts w:ascii="宋体" w:hAnsi="宋体"/>
          <w:sz w:val="24"/>
          <w:szCs w:val="24"/>
        </w:rPr>
      </w:pPr>
      <w:r>
        <w:rPr>
          <w:rFonts w:ascii="宋体" w:hAnsi="宋体" w:hint="eastAsia"/>
          <w:sz w:val="24"/>
          <w:szCs w:val="24"/>
        </w:rPr>
        <w:t>（1）参与转融通证券出借业务的资产，不得超过基金资产净值的30%，其中，出借期限在10个交易日以上的出借证券，纳入《流动性风险管理规定》所述流动性受限证券的范围；</w:t>
      </w:r>
    </w:p>
    <w:p w14:paraId="5E11B318" w14:textId="77777777" w:rsidR="00166BB1" w:rsidRDefault="00166BB1">
      <w:pPr>
        <w:snapToGrid w:val="0"/>
        <w:spacing w:line="360" w:lineRule="auto"/>
        <w:ind w:firstLine="480"/>
        <w:rPr>
          <w:rFonts w:ascii="宋体" w:hAnsi="宋体"/>
          <w:sz w:val="24"/>
          <w:szCs w:val="24"/>
        </w:rPr>
      </w:pPr>
      <w:r>
        <w:rPr>
          <w:rFonts w:ascii="宋体" w:hAnsi="宋体" w:hint="eastAsia"/>
          <w:sz w:val="24"/>
          <w:szCs w:val="24"/>
        </w:rPr>
        <w:t>（2）参与转融通证券出借业务的单只证券不得超过基金持有该证券总量的50%；</w:t>
      </w:r>
    </w:p>
    <w:p w14:paraId="68107A01" w14:textId="77777777" w:rsidR="00166BB1" w:rsidRDefault="00166BB1">
      <w:pPr>
        <w:snapToGrid w:val="0"/>
        <w:spacing w:line="360" w:lineRule="auto"/>
        <w:ind w:firstLine="480"/>
        <w:rPr>
          <w:rFonts w:ascii="宋体" w:hAnsi="宋体"/>
          <w:sz w:val="24"/>
          <w:szCs w:val="24"/>
        </w:rPr>
      </w:pPr>
      <w:r>
        <w:rPr>
          <w:rFonts w:ascii="宋体" w:hAnsi="宋体" w:hint="eastAsia"/>
          <w:sz w:val="24"/>
          <w:szCs w:val="24"/>
        </w:rPr>
        <w:t>（3）最近6个月内日均基金资产净值不得低于2亿元；</w:t>
      </w:r>
    </w:p>
    <w:p w14:paraId="5B2573D8" w14:textId="77777777" w:rsidR="00166BB1" w:rsidRDefault="00166BB1">
      <w:pPr>
        <w:snapToGrid w:val="0"/>
        <w:spacing w:line="360" w:lineRule="auto"/>
        <w:ind w:firstLine="480"/>
        <w:rPr>
          <w:rFonts w:ascii="宋体" w:hAnsi="宋体"/>
          <w:sz w:val="24"/>
          <w:szCs w:val="24"/>
        </w:rPr>
      </w:pPr>
      <w:r>
        <w:rPr>
          <w:rFonts w:ascii="宋体" w:hAnsi="宋体" w:hint="eastAsia"/>
          <w:sz w:val="24"/>
          <w:szCs w:val="24"/>
        </w:rPr>
        <w:t>（4）证券出借的平均剩余期限不得超过30天，平均剩余期限按照市值加权平均计算；</w:t>
      </w:r>
    </w:p>
    <w:p w14:paraId="46DA0C7F" w14:textId="77777777" w:rsidR="00166BB1" w:rsidRDefault="00166BB1">
      <w:pPr>
        <w:snapToGrid w:val="0"/>
        <w:spacing w:line="360" w:lineRule="auto"/>
        <w:ind w:firstLine="480"/>
        <w:rPr>
          <w:rFonts w:ascii="宋体" w:hAnsi="宋体"/>
          <w:sz w:val="24"/>
          <w:szCs w:val="24"/>
        </w:rPr>
      </w:pPr>
      <w:r>
        <w:rPr>
          <w:rFonts w:ascii="宋体" w:hAnsi="宋体"/>
          <w:sz w:val="24"/>
          <w:szCs w:val="24"/>
        </w:rPr>
        <w:t>13</w:t>
      </w:r>
      <w:r>
        <w:rPr>
          <w:rFonts w:ascii="宋体" w:hAnsi="宋体" w:hint="eastAsia"/>
          <w:sz w:val="24"/>
          <w:szCs w:val="24"/>
        </w:rPr>
        <w:t>、本基金投资于同一原始权益人的各类资产支持证券的比例，不得超过基金资产净值的10%；本基金持有的全部资产支持证券，其市值不得超过基金资产净值的20%，中国证监会规定的特殊品种除外；</w:t>
      </w:r>
    </w:p>
    <w:p w14:paraId="361E349C" w14:textId="77777777" w:rsidR="00166BB1" w:rsidRDefault="00166BB1">
      <w:pPr>
        <w:snapToGrid w:val="0"/>
        <w:spacing w:line="360" w:lineRule="auto"/>
        <w:ind w:firstLine="480"/>
        <w:rPr>
          <w:rFonts w:ascii="宋体" w:hAnsi="宋体"/>
          <w:sz w:val="24"/>
          <w:szCs w:val="24"/>
        </w:rPr>
      </w:pPr>
      <w:r>
        <w:rPr>
          <w:rFonts w:ascii="宋体" w:hAnsi="宋体"/>
          <w:sz w:val="24"/>
          <w:szCs w:val="24"/>
        </w:rPr>
        <w:t>14</w:t>
      </w:r>
      <w:r>
        <w:rPr>
          <w:rFonts w:ascii="宋体" w:hAnsi="宋体" w:hint="eastAsia"/>
          <w:sz w:val="24"/>
          <w:szCs w:val="24"/>
        </w:rPr>
        <w:t>、本基金持有的同一（指同一信用级别）资产支持证券的比例，不得超过该资产支持证券规模的10%；本基金管理人管理的全部基金投资于同一原始权益人的各类资产支持证券，不得超过其各类资产支持证券合计规模的10%；</w:t>
      </w:r>
    </w:p>
    <w:p w14:paraId="3FD521A9" w14:textId="77777777" w:rsidR="00166BB1" w:rsidRDefault="00166BB1">
      <w:pPr>
        <w:snapToGrid w:val="0"/>
        <w:spacing w:line="360" w:lineRule="auto"/>
        <w:ind w:firstLine="480"/>
        <w:rPr>
          <w:rFonts w:ascii="宋体" w:hAnsi="宋体"/>
          <w:sz w:val="24"/>
          <w:szCs w:val="24"/>
        </w:rPr>
      </w:pPr>
      <w:r>
        <w:rPr>
          <w:rFonts w:ascii="宋体" w:hAnsi="宋体"/>
          <w:sz w:val="24"/>
          <w:szCs w:val="24"/>
        </w:rPr>
        <w:t>15</w:t>
      </w:r>
      <w:r>
        <w:rPr>
          <w:rFonts w:ascii="宋体" w:hAnsi="宋体" w:hint="eastAsia"/>
          <w:sz w:val="24"/>
          <w:szCs w:val="24"/>
        </w:rPr>
        <w:t>、本基金应投资于信用级别评级为BBB以上（含BBB）的资产支持证券。基金持有资产支持证券期间，如果其信用等级下降、不再符合投资标准，应在评级报告发布之日起3个月内予以全部卖出；</w:t>
      </w:r>
    </w:p>
    <w:p w14:paraId="6E7913D4" w14:textId="77777777" w:rsidR="00166BB1" w:rsidRDefault="00166BB1">
      <w:pPr>
        <w:snapToGrid w:val="0"/>
        <w:spacing w:line="360" w:lineRule="auto"/>
        <w:ind w:firstLine="480"/>
        <w:rPr>
          <w:rFonts w:ascii="宋体" w:hAnsi="宋体"/>
          <w:sz w:val="24"/>
          <w:szCs w:val="24"/>
        </w:rPr>
      </w:pPr>
      <w:r>
        <w:rPr>
          <w:rFonts w:ascii="宋体" w:hAnsi="宋体"/>
          <w:sz w:val="24"/>
          <w:szCs w:val="24"/>
        </w:rPr>
        <w:t>16</w:t>
      </w:r>
      <w:r>
        <w:rPr>
          <w:rFonts w:ascii="宋体" w:hAnsi="宋体" w:hint="eastAsia"/>
          <w:sz w:val="24"/>
          <w:szCs w:val="24"/>
        </w:rPr>
        <w:t>、本基金投资存托凭证的比例限制依照境内上市交易的股票执行，与境内上市交易的股票合并计算；</w:t>
      </w:r>
    </w:p>
    <w:p w14:paraId="35FA9823" w14:textId="77777777" w:rsidR="00166BB1" w:rsidRDefault="00166BB1">
      <w:pPr>
        <w:snapToGrid w:val="0"/>
        <w:spacing w:line="360" w:lineRule="auto"/>
        <w:ind w:firstLine="480"/>
        <w:rPr>
          <w:rFonts w:ascii="宋体" w:hAnsi="宋体"/>
          <w:sz w:val="24"/>
          <w:szCs w:val="24"/>
        </w:rPr>
      </w:pPr>
      <w:r>
        <w:rPr>
          <w:rFonts w:ascii="宋体" w:hAnsi="宋体"/>
          <w:sz w:val="24"/>
          <w:szCs w:val="24"/>
        </w:rPr>
        <w:t>17</w:t>
      </w:r>
      <w:r>
        <w:rPr>
          <w:rFonts w:ascii="宋体" w:hAnsi="宋体" w:hint="eastAsia"/>
          <w:sz w:val="24"/>
          <w:szCs w:val="24"/>
        </w:rPr>
        <w:t>、法律法规及中国证监会规定的和《基金合同》约定的其他投资限制。</w:t>
      </w:r>
    </w:p>
    <w:p w14:paraId="69AB54BF" w14:textId="77777777" w:rsidR="00166BB1" w:rsidRDefault="00166BB1">
      <w:pPr>
        <w:snapToGrid w:val="0"/>
        <w:spacing w:line="360" w:lineRule="auto"/>
        <w:ind w:firstLine="480"/>
        <w:rPr>
          <w:rFonts w:ascii="宋体" w:hAnsi="宋体"/>
          <w:sz w:val="24"/>
          <w:szCs w:val="24"/>
        </w:rPr>
      </w:pPr>
      <w:r>
        <w:rPr>
          <w:rFonts w:ascii="宋体" w:hAnsi="宋体" w:hint="eastAsia"/>
          <w:sz w:val="24"/>
          <w:szCs w:val="24"/>
        </w:rPr>
        <w:t>除上述1、2、</w:t>
      </w:r>
      <w:r>
        <w:rPr>
          <w:rFonts w:ascii="宋体" w:hAnsi="宋体"/>
          <w:sz w:val="24"/>
          <w:szCs w:val="24"/>
        </w:rPr>
        <w:t>9</w:t>
      </w:r>
      <w:r>
        <w:rPr>
          <w:rFonts w:ascii="宋体" w:hAnsi="宋体" w:hint="eastAsia"/>
          <w:sz w:val="24"/>
          <w:szCs w:val="24"/>
        </w:rPr>
        <w:t>、</w:t>
      </w:r>
      <w:r>
        <w:rPr>
          <w:rFonts w:ascii="宋体" w:hAnsi="宋体"/>
          <w:sz w:val="24"/>
          <w:szCs w:val="24"/>
        </w:rPr>
        <w:t>10</w:t>
      </w:r>
      <w:r>
        <w:rPr>
          <w:rFonts w:ascii="宋体" w:hAnsi="宋体" w:hint="eastAsia"/>
          <w:sz w:val="24"/>
          <w:szCs w:val="24"/>
        </w:rPr>
        <w:t>、</w:t>
      </w:r>
      <w:r>
        <w:rPr>
          <w:rFonts w:ascii="宋体" w:hAnsi="宋体"/>
          <w:sz w:val="24"/>
          <w:szCs w:val="24"/>
        </w:rPr>
        <w:t>12</w:t>
      </w:r>
      <w:r>
        <w:rPr>
          <w:rFonts w:ascii="宋体" w:hAnsi="宋体" w:hint="eastAsia"/>
          <w:sz w:val="24"/>
          <w:szCs w:val="24"/>
        </w:rPr>
        <w:t>、</w:t>
      </w:r>
      <w:r>
        <w:rPr>
          <w:rFonts w:ascii="宋体" w:hAnsi="宋体"/>
          <w:sz w:val="24"/>
          <w:szCs w:val="24"/>
        </w:rPr>
        <w:t>15</w:t>
      </w:r>
      <w:r>
        <w:rPr>
          <w:rFonts w:ascii="宋体" w:hAnsi="宋体" w:hint="eastAsia"/>
          <w:sz w:val="24"/>
          <w:szCs w:val="24"/>
        </w:rPr>
        <w:t>项情形之外，因证券市场及期货市场波动、证券发行人合并、基金规模变动、标的指数成份股调整、标的指数成份股流动性限制、目标ETF暂停申购、赎回或二级市场交易停牌等基金管理人之外的因素致使基金投资比例不符合上述规定投资比例的，基金管理人应当在10个交易日内进行调整，但中国证监会规定的特殊情形除外。因证券市场及期货市场波动、证券</w:t>
      </w:r>
      <w:r>
        <w:rPr>
          <w:rFonts w:ascii="宋体" w:hAnsi="宋体" w:hint="eastAsia"/>
          <w:sz w:val="24"/>
          <w:szCs w:val="24"/>
        </w:rPr>
        <w:lastRenderedPageBreak/>
        <w:t>发行人合并、基金规模变动、标的指数成份股调整、标的指数成份股流动性限制、目标ETF暂停申购、赎回或二级市场交易停牌等基金管理人之外的因素致使基金持有的目标ETF的比例低于基金资产净值的90%的，基金管理人应当在20个交易日内进行调整，但中国证监会规定的特殊情形除外。法律法规另有规定的，从其规定。</w:t>
      </w:r>
    </w:p>
    <w:p w14:paraId="6CDF2203" w14:textId="77777777" w:rsidR="00166BB1" w:rsidRDefault="00166BB1">
      <w:pPr>
        <w:snapToGrid w:val="0"/>
        <w:spacing w:line="360" w:lineRule="auto"/>
        <w:ind w:firstLine="480"/>
        <w:rPr>
          <w:rFonts w:ascii="宋体" w:hAnsi="宋体"/>
          <w:sz w:val="24"/>
          <w:szCs w:val="24"/>
        </w:rPr>
      </w:pPr>
      <w:r>
        <w:rPr>
          <w:rFonts w:ascii="宋体" w:hAnsi="宋体" w:hint="eastAsia"/>
          <w:sz w:val="24"/>
          <w:szCs w:val="24"/>
        </w:rPr>
        <w:t>因证券市场波动、上市公司合并、基金规模变动等基金管理人之外的因素致使基金投资不符合上述第</w:t>
      </w:r>
      <w:r>
        <w:rPr>
          <w:rFonts w:ascii="宋体" w:hAnsi="宋体"/>
          <w:sz w:val="24"/>
          <w:szCs w:val="24"/>
        </w:rPr>
        <w:t>12</w:t>
      </w:r>
      <w:r>
        <w:rPr>
          <w:rFonts w:ascii="宋体" w:hAnsi="宋体" w:hint="eastAsia"/>
          <w:sz w:val="24"/>
          <w:szCs w:val="24"/>
        </w:rPr>
        <w:t>项的，基金管理人不得新增出借业务。</w:t>
      </w:r>
    </w:p>
    <w:p w14:paraId="4728CC3E" w14:textId="77777777" w:rsidR="00166BB1" w:rsidRDefault="00166BB1">
      <w:pPr>
        <w:snapToGrid w:val="0"/>
        <w:spacing w:line="360" w:lineRule="auto"/>
        <w:ind w:firstLine="480"/>
        <w:rPr>
          <w:rFonts w:ascii="宋体" w:hAnsi="宋体"/>
          <w:sz w:val="24"/>
          <w:szCs w:val="24"/>
        </w:rPr>
      </w:pPr>
      <w:r>
        <w:rPr>
          <w:rFonts w:ascii="宋体" w:hAnsi="宋体" w:hint="eastAsia"/>
          <w:sz w:val="24"/>
          <w:szCs w:val="24"/>
        </w:rPr>
        <w:t>基金管理人应当自基金合同生效之日起6个月内使基金的投资组合比例符合基金合同的有关约定。在上述期间内，本基金的投资范围、投资策略应当符合基金合同的约定。基金托管人对基金的投资的监督与检查自基金合同生效之日起开始。</w:t>
      </w:r>
    </w:p>
    <w:p w14:paraId="033049CF" w14:textId="77777777" w:rsidR="00166BB1" w:rsidRDefault="00166BB1">
      <w:pPr>
        <w:snapToGrid w:val="0"/>
        <w:spacing w:line="360" w:lineRule="auto"/>
        <w:ind w:firstLine="480"/>
        <w:rPr>
          <w:rFonts w:ascii="宋体" w:hAnsi="宋体"/>
          <w:bCs/>
          <w:sz w:val="24"/>
          <w:szCs w:val="24"/>
          <w:lang w:val="zh-CN"/>
        </w:rPr>
      </w:pPr>
      <w:r>
        <w:rPr>
          <w:rFonts w:ascii="宋体" w:hAnsi="宋体" w:hint="eastAsia"/>
          <w:bCs/>
          <w:sz w:val="24"/>
          <w:szCs w:val="24"/>
        </w:rPr>
        <w:t>如果法律法规或监管部门对上述投资组合比例限制进行变更的，基金管理人在履行适当程序后，可相应调整投资比例限制规定或按变更后的规定执行。法律法规或监管部门取消上述限制，如适用于本基金，基金管理人在履行适当程序后，则本基金投资不再受相关限制</w:t>
      </w:r>
      <w:r>
        <w:rPr>
          <w:rFonts w:ascii="宋体" w:hAnsi="宋体" w:hint="eastAsia"/>
          <w:sz w:val="24"/>
          <w:szCs w:val="24"/>
        </w:rPr>
        <w:t>。</w:t>
      </w:r>
    </w:p>
    <w:p w14:paraId="6E8C312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w:t>
      </w:r>
      <w:r>
        <w:rPr>
          <w:rFonts w:ascii="宋体" w:hAnsi="宋体"/>
          <w:bCs/>
          <w:sz w:val="24"/>
          <w:szCs w:val="24"/>
        </w:rPr>
        <w:t>禁止行为</w:t>
      </w:r>
    </w:p>
    <w:p w14:paraId="1346DD1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为维护基金份额持有人的合法权益，基金财产不得用于下列投资或者活动：</w:t>
      </w:r>
    </w:p>
    <w:p w14:paraId="209DB5F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（1）承销证券；</w:t>
      </w:r>
    </w:p>
    <w:p w14:paraId="5D5ABE6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w:t>
      </w:r>
      <w:r>
        <w:rPr>
          <w:rFonts w:ascii="宋体" w:hAnsi="宋体" w:hint="eastAsia"/>
          <w:bCs/>
          <w:sz w:val="24"/>
          <w:szCs w:val="24"/>
        </w:rPr>
        <w:t>违反规定</w:t>
      </w:r>
      <w:r>
        <w:rPr>
          <w:rFonts w:ascii="宋体" w:hAnsi="宋体"/>
          <w:bCs/>
          <w:sz w:val="24"/>
          <w:szCs w:val="24"/>
        </w:rPr>
        <w:t>向他人贷款或者提供担保；</w:t>
      </w:r>
    </w:p>
    <w:p w14:paraId="7D47C1B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）从事承担无限责任的投资；</w:t>
      </w:r>
    </w:p>
    <w:p w14:paraId="44E0A30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4</w:t>
      </w:r>
      <w:r>
        <w:rPr>
          <w:rFonts w:ascii="宋体" w:hAnsi="宋体"/>
          <w:bCs/>
          <w:sz w:val="24"/>
          <w:szCs w:val="24"/>
        </w:rPr>
        <w:t>）买卖</w:t>
      </w:r>
      <w:proofErr w:type="gramStart"/>
      <w:r>
        <w:rPr>
          <w:rFonts w:ascii="宋体" w:hAnsi="宋体" w:hint="eastAsia"/>
          <w:bCs/>
          <w:sz w:val="24"/>
          <w:szCs w:val="24"/>
        </w:rPr>
        <w:t>除</w:t>
      </w:r>
      <w:r>
        <w:rPr>
          <w:rFonts w:ascii="宋体" w:hAnsi="宋体"/>
          <w:bCs/>
          <w:sz w:val="24"/>
          <w:szCs w:val="24"/>
        </w:rPr>
        <w:t>目标</w:t>
      </w:r>
      <w:proofErr w:type="gramEnd"/>
      <w:r>
        <w:rPr>
          <w:rFonts w:ascii="宋体" w:hAnsi="宋体"/>
          <w:bCs/>
          <w:sz w:val="24"/>
          <w:szCs w:val="24"/>
        </w:rPr>
        <w:t>ETF</w:t>
      </w:r>
      <w:r>
        <w:rPr>
          <w:rFonts w:ascii="宋体" w:hAnsi="宋体" w:hint="eastAsia"/>
          <w:bCs/>
          <w:sz w:val="24"/>
          <w:szCs w:val="24"/>
        </w:rPr>
        <w:t>以外</w:t>
      </w:r>
      <w:r>
        <w:rPr>
          <w:rFonts w:ascii="宋体" w:hAnsi="宋体"/>
          <w:bCs/>
          <w:sz w:val="24"/>
          <w:szCs w:val="24"/>
        </w:rPr>
        <w:t>的其他基金份额</w:t>
      </w:r>
      <w:r>
        <w:rPr>
          <w:rFonts w:ascii="宋体" w:hAnsi="宋体" w:hint="eastAsia"/>
          <w:bCs/>
          <w:sz w:val="24"/>
          <w:szCs w:val="24"/>
        </w:rPr>
        <w:t>，但是中国证监会另有规定的除外</w:t>
      </w:r>
      <w:r>
        <w:rPr>
          <w:rFonts w:ascii="宋体" w:hAnsi="宋体"/>
          <w:bCs/>
          <w:sz w:val="24"/>
          <w:szCs w:val="24"/>
        </w:rPr>
        <w:t>；</w:t>
      </w:r>
    </w:p>
    <w:p w14:paraId="78DB8AC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5</w:t>
      </w:r>
      <w:r>
        <w:rPr>
          <w:rFonts w:ascii="宋体" w:hAnsi="宋体"/>
          <w:bCs/>
          <w:sz w:val="24"/>
          <w:szCs w:val="24"/>
        </w:rPr>
        <w:t>）向其基金管理人、基金托管人出资</w:t>
      </w:r>
      <w:r>
        <w:rPr>
          <w:rFonts w:ascii="宋体" w:hAnsi="宋体" w:hint="eastAsia"/>
          <w:bCs/>
          <w:sz w:val="24"/>
          <w:szCs w:val="24"/>
        </w:rPr>
        <w:t>；</w:t>
      </w:r>
    </w:p>
    <w:p w14:paraId="1967CD7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6</w:t>
      </w:r>
      <w:r>
        <w:rPr>
          <w:rFonts w:ascii="宋体" w:hAnsi="宋体"/>
          <w:bCs/>
          <w:sz w:val="24"/>
          <w:szCs w:val="24"/>
        </w:rPr>
        <w:t>）从事内幕交易、操纵证券交易价格及其他不正当的证券交易活动；</w:t>
      </w:r>
    </w:p>
    <w:p w14:paraId="3E41E15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7</w:t>
      </w:r>
      <w:r>
        <w:rPr>
          <w:rFonts w:ascii="宋体" w:hAnsi="宋体"/>
          <w:bCs/>
          <w:sz w:val="24"/>
          <w:szCs w:val="24"/>
        </w:rPr>
        <w:t>）法律</w:t>
      </w:r>
      <w:r>
        <w:rPr>
          <w:rFonts w:ascii="宋体" w:hAnsi="宋体" w:hint="eastAsia"/>
          <w:bCs/>
          <w:sz w:val="24"/>
          <w:szCs w:val="24"/>
        </w:rPr>
        <w:t>、行政</w:t>
      </w:r>
      <w:r>
        <w:rPr>
          <w:rFonts w:ascii="宋体" w:hAnsi="宋体"/>
          <w:bCs/>
          <w:sz w:val="24"/>
          <w:szCs w:val="24"/>
        </w:rPr>
        <w:t>法规</w:t>
      </w:r>
      <w:r>
        <w:rPr>
          <w:rFonts w:ascii="宋体" w:hAnsi="宋体" w:hint="eastAsia"/>
          <w:bCs/>
          <w:sz w:val="24"/>
          <w:szCs w:val="24"/>
        </w:rPr>
        <w:t>和</w:t>
      </w:r>
      <w:r>
        <w:rPr>
          <w:rFonts w:ascii="宋体" w:hAnsi="宋体"/>
          <w:bCs/>
          <w:sz w:val="24"/>
          <w:szCs w:val="24"/>
        </w:rPr>
        <w:t>中国证监会规定禁止的其他活动</w:t>
      </w:r>
      <w:r>
        <w:rPr>
          <w:rFonts w:ascii="宋体" w:hAnsi="宋体" w:hint="eastAsia"/>
          <w:bCs/>
          <w:sz w:val="24"/>
          <w:szCs w:val="24"/>
        </w:rPr>
        <w:t>。</w:t>
      </w:r>
    </w:p>
    <w:p w14:paraId="006E864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w:t>
      </w:r>
      <w:r>
        <w:rPr>
          <w:rFonts w:ascii="宋体" w:hAnsi="宋体"/>
          <w:bCs/>
          <w:sz w:val="24"/>
          <w:szCs w:val="24"/>
        </w:rPr>
        <w:t>运用基金财产买卖基金管理人、基金托管人及其控股股东、实际控制人或者与其有重大利害关系的公司发行的证券或</w:t>
      </w:r>
      <w:r>
        <w:rPr>
          <w:rFonts w:ascii="宋体" w:hAnsi="宋体" w:hint="eastAsia"/>
          <w:bCs/>
          <w:sz w:val="24"/>
          <w:szCs w:val="24"/>
        </w:rPr>
        <w:t>者</w:t>
      </w:r>
      <w:r>
        <w:rPr>
          <w:rFonts w:ascii="宋体" w:hAnsi="宋体"/>
          <w:bCs/>
          <w:sz w:val="24"/>
          <w:szCs w:val="24"/>
        </w:rPr>
        <w:t>承销期内承销的证券，或者从事</w:t>
      </w:r>
      <w:r>
        <w:rPr>
          <w:rFonts w:ascii="宋体" w:hAnsi="宋体" w:hint="eastAsia"/>
          <w:bCs/>
          <w:sz w:val="24"/>
          <w:szCs w:val="24"/>
        </w:rPr>
        <w:t>其他</w:t>
      </w:r>
      <w:r>
        <w:rPr>
          <w:rFonts w:ascii="宋体" w:hAnsi="宋体"/>
          <w:bCs/>
          <w:sz w:val="24"/>
          <w:szCs w:val="24"/>
        </w:rPr>
        <w:t>重大关联交易的，应当</w:t>
      </w:r>
      <w:r>
        <w:rPr>
          <w:rFonts w:ascii="宋体" w:hAnsi="宋体" w:hint="eastAsia"/>
          <w:bCs/>
          <w:sz w:val="24"/>
          <w:szCs w:val="24"/>
        </w:rPr>
        <w:t>符合基金的投资目标和投资策略，</w:t>
      </w:r>
      <w:r>
        <w:rPr>
          <w:rFonts w:ascii="宋体" w:hAnsi="宋体"/>
          <w:bCs/>
          <w:sz w:val="24"/>
          <w:szCs w:val="24"/>
        </w:rPr>
        <w:t>遵循基金份额持有人利益优先原则，防范利益冲突，</w:t>
      </w:r>
      <w:r>
        <w:rPr>
          <w:rFonts w:ascii="宋体" w:hAnsi="宋体" w:hint="eastAsia"/>
          <w:bCs/>
          <w:sz w:val="24"/>
          <w:szCs w:val="24"/>
        </w:rPr>
        <w:t>建立健全内部审批机制和评估机制，按照市场公平合理价格执行。相关交易必须事先得到基金托管人的同意，并按法律</w:t>
      </w:r>
      <w:r>
        <w:rPr>
          <w:rFonts w:ascii="宋体" w:hAnsi="宋体" w:hint="eastAsia"/>
          <w:bCs/>
          <w:sz w:val="24"/>
          <w:szCs w:val="24"/>
        </w:rPr>
        <w:lastRenderedPageBreak/>
        <w:t>法规予以披露。重大关联交易应提交基金管理人董事会审议，并经过三分之二以上的独立董事通过。基金管理人董事会应至少每半年对关联交易事项进行审查</w:t>
      </w:r>
      <w:r>
        <w:rPr>
          <w:rFonts w:ascii="宋体" w:hAnsi="宋体"/>
          <w:bCs/>
          <w:sz w:val="24"/>
          <w:szCs w:val="24"/>
        </w:rPr>
        <w:t>。</w:t>
      </w:r>
    </w:p>
    <w:p w14:paraId="2B22D43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法律、行政法规或监管部门取消或变更上述限制，如适用于本基金，基金管理人在履行适当程序后，则本基金投资不再受相关限制或按变更后的规定执行。</w:t>
      </w:r>
    </w:p>
    <w:p w14:paraId="7234548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五、标的指数和业绩比较基准</w:t>
      </w:r>
    </w:p>
    <w:p w14:paraId="5C9C2290" w14:textId="77777777" w:rsidR="00166BB1" w:rsidRDefault="00166BB1">
      <w:pPr>
        <w:adjustRightInd w:val="0"/>
        <w:snapToGrid w:val="0"/>
        <w:spacing w:line="360" w:lineRule="auto"/>
        <w:ind w:firstLineChars="200" w:firstLine="480"/>
        <w:rPr>
          <w:rFonts w:ascii="宋体" w:hAnsi="宋体" w:cs="宋体"/>
          <w:sz w:val="24"/>
        </w:rPr>
      </w:pPr>
      <w:r>
        <w:rPr>
          <w:rFonts w:ascii="宋体" w:hAnsi="宋体" w:cs="宋体" w:hint="eastAsia"/>
          <w:sz w:val="24"/>
        </w:rPr>
        <w:t>1、标的指数</w:t>
      </w:r>
    </w:p>
    <w:p w14:paraId="6CE6CA3F" w14:textId="77777777" w:rsidR="00166BB1" w:rsidRDefault="00166BB1">
      <w:pPr>
        <w:adjustRightInd w:val="0"/>
        <w:snapToGrid w:val="0"/>
        <w:spacing w:line="360" w:lineRule="auto"/>
        <w:ind w:firstLineChars="200" w:firstLine="480"/>
        <w:rPr>
          <w:rFonts w:ascii="宋体" w:hAnsi="宋体" w:cs="宋体"/>
          <w:sz w:val="24"/>
        </w:rPr>
      </w:pPr>
      <w:r>
        <w:rPr>
          <w:rFonts w:ascii="宋体" w:hAnsi="宋体" w:cs="宋体" w:hint="eastAsia"/>
          <w:sz w:val="24"/>
        </w:rPr>
        <w:t>本基金标的指数为</w:t>
      </w:r>
      <w:r>
        <w:rPr>
          <w:rFonts w:ascii="宋体" w:hAnsi="宋体" w:cs="宋体" w:hint="eastAsia"/>
          <w:sz w:val="24"/>
          <w:szCs w:val="21"/>
        </w:rPr>
        <w:t>中证有色金属指数</w:t>
      </w:r>
      <w:r>
        <w:rPr>
          <w:rFonts w:ascii="宋体" w:hAnsi="宋体" w:cs="宋体" w:hint="eastAsia"/>
          <w:sz w:val="24"/>
        </w:rPr>
        <w:t>。</w:t>
      </w:r>
    </w:p>
    <w:p w14:paraId="6CE9CE37" w14:textId="77777777" w:rsidR="00166BB1" w:rsidRDefault="00166BB1">
      <w:pPr>
        <w:adjustRightInd w:val="0"/>
        <w:snapToGrid w:val="0"/>
        <w:spacing w:line="360" w:lineRule="auto"/>
        <w:ind w:firstLineChars="200" w:firstLine="480"/>
        <w:rPr>
          <w:rFonts w:ascii="宋体" w:hAnsi="宋体" w:cs="宋体"/>
          <w:sz w:val="24"/>
        </w:rPr>
      </w:pPr>
      <w:r>
        <w:rPr>
          <w:rFonts w:ascii="宋体" w:hAnsi="宋体" w:cs="宋体" w:hint="eastAsia"/>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6个月内召集基金份额持有人大会进行表决，基金份额持有人大会未成功召开或就上述事项表决未通过的，本基金合同终止。</w:t>
      </w:r>
    </w:p>
    <w:p w14:paraId="60991395" w14:textId="77777777" w:rsidR="00166BB1" w:rsidRDefault="00166BB1">
      <w:pPr>
        <w:adjustRightInd w:val="0"/>
        <w:snapToGrid w:val="0"/>
        <w:spacing w:line="360" w:lineRule="auto"/>
        <w:ind w:firstLineChars="200" w:firstLine="480"/>
        <w:rPr>
          <w:rFonts w:ascii="宋体" w:hAnsi="宋体" w:cs="宋体"/>
          <w:sz w:val="24"/>
        </w:rPr>
      </w:pPr>
      <w:proofErr w:type="gramStart"/>
      <w:r>
        <w:rPr>
          <w:rFonts w:ascii="宋体" w:hAnsi="宋体" w:cs="宋体" w:hint="eastAsia"/>
          <w:sz w:val="24"/>
        </w:rPr>
        <w:t>自指数</w:t>
      </w:r>
      <w:proofErr w:type="gramEnd"/>
      <w:r>
        <w:rPr>
          <w:rFonts w:ascii="宋体" w:hAnsi="宋体" w:cs="宋体" w:hint="eastAsia"/>
          <w:sz w:val="24"/>
        </w:rPr>
        <w:t>编制机构停止标的指数的编制及发布</w:t>
      </w:r>
      <w:proofErr w:type="gramStart"/>
      <w:r>
        <w:rPr>
          <w:rFonts w:ascii="宋体" w:hAnsi="宋体" w:cs="宋体" w:hint="eastAsia"/>
          <w:sz w:val="24"/>
        </w:rPr>
        <w:t>至解决</w:t>
      </w:r>
      <w:proofErr w:type="gramEnd"/>
      <w:r>
        <w:rPr>
          <w:rFonts w:ascii="宋体" w:hAnsi="宋体" w:cs="宋体" w:hint="eastAsia"/>
          <w:sz w:val="24"/>
        </w:rPr>
        <w:t>方案确定期间，基金管理人应按照指数编制机构提供的最近一个交易日的指数信息遵循基金份额持有人利益优先原则维持基金投资运作。</w:t>
      </w:r>
    </w:p>
    <w:p w14:paraId="6B9121DA" w14:textId="77777777" w:rsidR="00166BB1" w:rsidRDefault="00166BB1">
      <w:pPr>
        <w:adjustRightInd w:val="0"/>
        <w:snapToGrid w:val="0"/>
        <w:spacing w:line="360" w:lineRule="auto"/>
        <w:ind w:firstLineChars="200" w:firstLine="480"/>
        <w:rPr>
          <w:rFonts w:ascii="宋体" w:hAnsi="宋体" w:cs="宋体"/>
          <w:sz w:val="24"/>
        </w:rPr>
      </w:pPr>
      <w:r>
        <w:rPr>
          <w:rFonts w:ascii="宋体" w:hAnsi="宋体" w:cs="宋体" w:hint="eastAsia"/>
          <w:sz w:val="24"/>
        </w:rPr>
        <w:t>若发生编制机构变更、指数更名等对基金投资无实质性影响，基金管理人应按照监管部门要求履行适当程序，并与基金托管人协商一致后，在规定媒介上公告。</w:t>
      </w:r>
    </w:p>
    <w:p w14:paraId="39CCA986" w14:textId="77777777" w:rsidR="00166BB1" w:rsidRDefault="00166BB1">
      <w:pPr>
        <w:adjustRightInd w:val="0"/>
        <w:snapToGrid w:val="0"/>
        <w:spacing w:line="360" w:lineRule="auto"/>
        <w:ind w:firstLineChars="200" w:firstLine="480"/>
        <w:rPr>
          <w:rFonts w:ascii="宋体" w:hAnsi="宋体" w:cs="宋体"/>
          <w:sz w:val="24"/>
        </w:rPr>
      </w:pPr>
      <w:r>
        <w:rPr>
          <w:rFonts w:ascii="宋体" w:hAnsi="宋体" w:cs="宋体" w:hint="eastAsia"/>
          <w:sz w:val="24"/>
        </w:rPr>
        <w:t>2、业绩比较基准</w:t>
      </w:r>
    </w:p>
    <w:p w14:paraId="7B9040E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cs="宋体" w:hint="eastAsia"/>
          <w:sz w:val="24"/>
        </w:rPr>
        <w:t>本基金的业绩比较基</w:t>
      </w:r>
      <w:r>
        <w:rPr>
          <w:rFonts w:ascii="宋体" w:hAnsi="宋体" w:hint="eastAsia"/>
          <w:bCs/>
          <w:sz w:val="24"/>
          <w:szCs w:val="24"/>
        </w:rPr>
        <w:t>准为：中证有色金属指数收益率×</w:t>
      </w:r>
      <w:r>
        <w:rPr>
          <w:rFonts w:ascii="宋体" w:hAnsi="宋体"/>
          <w:bCs/>
          <w:sz w:val="24"/>
          <w:szCs w:val="24"/>
        </w:rPr>
        <w:t>95%+银行活期存款利率（税后）×5%</w:t>
      </w:r>
      <w:r>
        <w:rPr>
          <w:rFonts w:ascii="宋体" w:hAnsi="宋体" w:hint="eastAsia"/>
          <w:bCs/>
          <w:sz w:val="24"/>
          <w:szCs w:val="24"/>
        </w:rPr>
        <w:t>。</w:t>
      </w:r>
    </w:p>
    <w:p w14:paraId="6818070F" w14:textId="77777777" w:rsidR="00166BB1" w:rsidRDefault="00166BB1">
      <w:pPr>
        <w:snapToGrid w:val="0"/>
        <w:spacing w:line="360" w:lineRule="auto"/>
        <w:ind w:firstLine="480"/>
        <w:rPr>
          <w:rFonts w:ascii="宋体" w:hAnsi="宋体" w:cs="宋体"/>
          <w:sz w:val="24"/>
        </w:rPr>
      </w:pPr>
      <w:r>
        <w:rPr>
          <w:rFonts w:ascii="宋体" w:hAnsi="宋体"/>
          <w:bCs/>
          <w:sz w:val="24"/>
          <w:szCs w:val="24"/>
        </w:rPr>
        <w:t>本基金以</w:t>
      </w:r>
      <w:r>
        <w:rPr>
          <w:rFonts w:ascii="宋体" w:hAnsi="宋体" w:hint="eastAsia"/>
          <w:bCs/>
          <w:sz w:val="24"/>
          <w:szCs w:val="24"/>
        </w:rPr>
        <w:t>中证有色金属指数为标的指数，</w:t>
      </w:r>
      <w:r>
        <w:rPr>
          <w:rFonts w:ascii="宋体" w:hAnsi="宋体" w:cs="宋体" w:hint="eastAsia"/>
          <w:sz w:val="24"/>
        </w:rPr>
        <w:t>主要通过投资于目标ETF，紧密跟踪标的指数，本基金投资于目标ETF的比例不低于基金资产净值的90%，选用以上指数收益率作为本基金的业绩比较基准可以有效评估本基金投资组合业绩，反映本基金的风格特点。</w:t>
      </w:r>
    </w:p>
    <w:p w14:paraId="7CD3BC90" w14:textId="77777777" w:rsidR="00166BB1" w:rsidRDefault="00166BB1">
      <w:pPr>
        <w:adjustRightInd w:val="0"/>
        <w:snapToGrid w:val="0"/>
        <w:spacing w:line="336" w:lineRule="auto"/>
        <w:ind w:firstLineChars="200" w:firstLine="480"/>
        <w:rPr>
          <w:rFonts w:ascii="宋体" w:hAnsi="宋体"/>
          <w:sz w:val="24"/>
          <w:szCs w:val="24"/>
        </w:rPr>
      </w:pPr>
      <w:r>
        <w:rPr>
          <w:rFonts w:ascii="宋体" w:hAnsi="宋体"/>
          <w:sz w:val="24"/>
          <w:szCs w:val="24"/>
        </w:rPr>
        <w:t>六、风险收益特征</w:t>
      </w:r>
    </w:p>
    <w:p w14:paraId="61F5D2A7" w14:textId="77777777" w:rsidR="00166BB1" w:rsidRDefault="00166BB1">
      <w:pPr>
        <w:adjustRightInd w:val="0"/>
        <w:snapToGrid w:val="0"/>
        <w:spacing w:line="360" w:lineRule="auto"/>
        <w:ind w:firstLineChars="200" w:firstLine="480"/>
        <w:rPr>
          <w:rFonts w:ascii="宋体" w:hAnsi="宋体"/>
          <w:sz w:val="24"/>
          <w:szCs w:val="24"/>
        </w:rPr>
      </w:pPr>
      <w:r>
        <w:rPr>
          <w:rFonts w:ascii="宋体" w:hAnsi="宋体" w:cs="宋体" w:hint="eastAsia"/>
          <w:sz w:val="24"/>
        </w:rPr>
        <w:t>本基金为ETF联接基金，预期风险与预期收益高于债券型基金与货币市场基金。本基金主要投资于目标ETF，紧密跟踪标的指数，具有与标的指数以及标的指数所代表的股票市场相似的风险收益特征。</w:t>
      </w:r>
    </w:p>
    <w:p w14:paraId="2E9F31B4" w14:textId="77777777" w:rsidR="00166BB1" w:rsidRDefault="00166BB1">
      <w:pPr>
        <w:adjustRightInd w:val="0"/>
        <w:snapToGrid w:val="0"/>
        <w:spacing w:line="336" w:lineRule="auto"/>
        <w:ind w:firstLineChars="200" w:firstLine="480"/>
        <w:rPr>
          <w:rFonts w:ascii="宋体" w:hAnsi="宋体"/>
          <w:bCs/>
          <w:sz w:val="24"/>
          <w:szCs w:val="24"/>
        </w:rPr>
      </w:pPr>
      <w:r>
        <w:rPr>
          <w:rFonts w:ascii="宋体" w:hAnsi="宋体" w:hint="eastAsia"/>
          <w:sz w:val="24"/>
          <w:szCs w:val="24"/>
        </w:rPr>
        <w:lastRenderedPageBreak/>
        <w:t>七、基金管理人代表基金行使相关权</w:t>
      </w:r>
      <w:r>
        <w:rPr>
          <w:rFonts w:ascii="宋体" w:hAnsi="宋体" w:hint="eastAsia"/>
          <w:bCs/>
          <w:sz w:val="24"/>
          <w:szCs w:val="24"/>
        </w:rPr>
        <w:t>利的处理原则及方法</w:t>
      </w:r>
    </w:p>
    <w:p w14:paraId="2C42827C" w14:textId="77777777" w:rsidR="00166BB1" w:rsidRDefault="00166BB1">
      <w:pPr>
        <w:adjustRightInd w:val="0"/>
        <w:snapToGrid w:val="0"/>
        <w:spacing w:line="336"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、基金管理人按照国家有关规定代表基金独立行使相关权利，保护基金份额持有人的利益；</w:t>
      </w:r>
    </w:p>
    <w:p w14:paraId="0E949C73" w14:textId="77777777" w:rsidR="00166BB1" w:rsidRDefault="00166BB1">
      <w:pPr>
        <w:adjustRightInd w:val="0"/>
        <w:snapToGrid w:val="0"/>
        <w:spacing w:line="336"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、不谋求对上市公司的控股；</w:t>
      </w:r>
    </w:p>
    <w:p w14:paraId="7642B39A" w14:textId="77777777" w:rsidR="00166BB1" w:rsidRDefault="00166BB1">
      <w:pPr>
        <w:adjustRightInd w:val="0"/>
        <w:snapToGrid w:val="0"/>
        <w:spacing w:line="336" w:lineRule="auto"/>
        <w:ind w:firstLineChars="200" w:firstLine="480"/>
        <w:rPr>
          <w:rFonts w:ascii="宋体" w:hAnsi="宋体"/>
          <w:bCs/>
          <w:sz w:val="24"/>
          <w:szCs w:val="24"/>
        </w:rPr>
      </w:pPr>
      <w:r>
        <w:rPr>
          <w:rFonts w:ascii="宋体" w:hAnsi="宋体" w:hint="eastAsia"/>
          <w:bCs/>
          <w:sz w:val="24"/>
          <w:szCs w:val="24"/>
        </w:rPr>
        <w:t>3、有利于基金财产的安全与增值；</w:t>
      </w:r>
    </w:p>
    <w:p w14:paraId="77F11440" w14:textId="77777777" w:rsidR="00166BB1" w:rsidRDefault="00166BB1">
      <w:pPr>
        <w:adjustRightInd w:val="0"/>
        <w:snapToGrid w:val="0"/>
        <w:spacing w:line="336"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、不通过关联交易为自身、雇员、授权代理人或任何存在利害关系的第三人牟取任何不当利益。</w:t>
      </w:r>
    </w:p>
    <w:p w14:paraId="76A2DE72" w14:textId="77777777" w:rsidR="00166BB1" w:rsidRDefault="00166BB1">
      <w:pPr>
        <w:snapToGrid w:val="0"/>
        <w:spacing w:line="360" w:lineRule="auto"/>
        <w:ind w:firstLine="480"/>
        <w:rPr>
          <w:rFonts w:ascii="宋体" w:hAnsi="宋体" w:cs="宋体"/>
          <w:sz w:val="24"/>
        </w:rPr>
      </w:pPr>
      <w:r>
        <w:rPr>
          <w:rFonts w:ascii="宋体" w:hAnsi="宋体" w:cs="宋体" w:hint="eastAsia"/>
          <w:sz w:val="24"/>
        </w:rPr>
        <w:t>八、目标ETF发生相关变更情形时的处理</w:t>
      </w:r>
    </w:p>
    <w:p w14:paraId="613CBDB6" w14:textId="77777777" w:rsidR="00166BB1" w:rsidRDefault="00166BB1">
      <w:pPr>
        <w:snapToGrid w:val="0"/>
        <w:spacing w:line="360" w:lineRule="auto"/>
        <w:ind w:firstLine="480"/>
        <w:rPr>
          <w:rFonts w:ascii="宋体" w:hAnsi="宋体" w:cs="宋体"/>
          <w:sz w:val="24"/>
        </w:rPr>
      </w:pPr>
      <w:r>
        <w:rPr>
          <w:rFonts w:ascii="宋体" w:hAnsi="宋体" w:cs="宋体" w:hint="eastAsia"/>
          <w:sz w:val="24"/>
        </w:rPr>
        <w:t>目标ETF出现下述情形之一的，本基金将由投资于目标ETF的联接基金变更为直接投资该标的指数的指数基金，无需召开基金份额持有人大会；若届时本基金管理人已有以该指数作为标的指数的指数基金，则本基金将本着维护投资者合法权益的原则，</w:t>
      </w:r>
      <w:r>
        <w:rPr>
          <w:rFonts w:ascii="宋体" w:hAnsi="宋体" w:cs="宋体"/>
          <w:sz w:val="24"/>
        </w:rPr>
        <w:t>在履行适当程序后，</w:t>
      </w:r>
      <w:r>
        <w:rPr>
          <w:rFonts w:ascii="宋体" w:hAnsi="宋体" w:cs="宋体" w:hint="eastAsia"/>
          <w:sz w:val="24"/>
        </w:rPr>
        <w:t>选取其他合适的指数作为标的指数。相应地，基金合同中将删除关于目标ETF的表述部分，或将变更标的指数，届时将由基金管理人另行公告。</w:t>
      </w:r>
    </w:p>
    <w:p w14:paraId="7246EA85" w14:textId="77777777" w:rsidR="00166BB1" w:rsidRDefault="00166BB1">
      <w:pPr>
        <w:snapToGrid w:val="0"/>
        <w:spacing w:line="360" w:lineRule="auto"/>
        <w:ind w:firstLine="480"/>
        <w:rPr>
          <w:rFonts w:ascii="宋体" w:hAnsi="宋体" w:cs="宋体"/>
          <w:sz w:val="24"/>
        </w:rPr>
      </w:pPr>
      <w:r>
        <w:rPr>
          <w:rFonts w:ascii="宋体" w:hAnsi="宋体" w:cs="宋体" w:hint="eastAsia"/>
          <w:sz w:val="24"/>
        </w:rPr>
        <w:t>（一）目标ETF交易方式发生重大变更致使本基金的投资策略难以实现；</w:t>
      </w:r>
    </w:p>
    <w:p w14:paraId="259FF6BD" w14:textId="77777777" w:rsidR="00166BB1" w:rsidRDefault="00166BB1">
      <w:pPr>
        <w:snapToGrid w:val="0"/>
        <w:spacing w:line="360" w:lineRule="auto"/>
        <w:ind w:firstLine="480"/>
        <w:rPr>
          <w:rFonts w:ascii="宋体" w:hAnsi="宋体" w:cs="宋体"/>
          <w:sz w:val="24"/>
        </w:rPr>
      </w:pPr>
      <w:r>
        <w:rPr>
          <w:rFonts w:ascii="宋体" w:hAnsi="宋体" w:cs="宋体" w:hint="eastAsia"/>
          <w:sz w:val="24"/>
        </w:rPr>
        <w:t>（二）目标ETF终止上市；</w:t>
      </w:r>
    </w:p>
    <w:p w14:paraId="04C98568" w14:textId="77777777" w:rsidR="00166BB1" w:rsidRDefault="00166BB1">
      <w:pPr>
        <w:snapToGrid w:val="0"/>
        <w:spacing w:line="360" w:lineRule="auto"/>
        <w:ind w:firstLine="480"/>
        <w:rPr>
          <w:rFonts w:ascii="宋体" w:hAnsi="宋体" w:cs="宋体"/>
          <w:sz w:val="24"/>
        </w:rPr>
      </w:pPr>
      <w:r>
        <w:rPr>
          <w:rFonts w:ascii="宋体" w:hAnsi="宋体" w:cs="宋体" w:hint="eastAsia"/>
          <w:sz w:val="24"/>
        </w:rPr>
        <w:t>（三）目标ETF基金合同终止；</w:t>
      </w:r>
    </w:p>
    <w:p w14:paraId="420FAAF7" w14:textId="77777777" w:rsidR="00166BB1" w:rsidRDefault="00166BB1">
      <w:pPr>
        <w:snapToGrid w:val="0"/>
        <w:spacing w:line="360" w:lineRule="auto"/>
        <w:ind w:firstLine="480"/>
        <w:rPr>
          <w:rFonts w:ascii="宋体" w:hAnsi="宋体" w:cs="宋体"/>
          <w:sz w:val="24"/>
        </w:rPr>
      </w:pPr>
      <w:r>
        <w:rPr>
          <w:rFonts w:ascii="宋体" w:hAnsi="宋体" w:cs="宋体" w:hint="eastAsia"/>
          <w:sz w:val="24"/>
        </w:rPr>
        <w:t>（四）目标ETF的基金管理人发生变更（但变更后的本基金与目标ETF的基金管理人相同的除外）；</w:t>
      </w:r>
    </w:p>
    <w:p w14:paraId="6E1EAACE" w14:textId="77777777" w:rsidR="00166BB1" w:rsidRDefault="00166BB1">
      <w:pPr>
        <w:snapToGrid w:val="0"/>
        <w:spacing w:line="360" w:lineRule="auto"/>
        <w:ind w:firstLine="480"/>
        <w:rPr>
          <w:rFonts w:ascii="宋体" w:hAnsi="宋体" w:cs="宋体"/>
          <w:sz w:val="24"/>
        </w:rPr>
      </w:pPr>
      <w:r>
        <w:rPr>
          <w:rFonts w:ascii="宋体" w:hAnsi="宋体" w:cs="宋体" w:hint="eastAsia"/>
          <w:sz w:val="24"/>
        </w:rPr>
        <w:t>（五）目标ETF与其他基金进行合并；</w:t>
      </w:r>
    </w:p>
    <w:p w14:paraId="298BA250" w14:textId="77777777" w:rsidR="00166BB1" w:rsidRDefault="00166BB1">
      <w:pPr>
        <w:snapToGrid w:val="0"/>
        <w:spacing w:line="360" w:lineRule="auto"/>
        <w:ind w:firstLine="480"/>
        <w:rPr>
          <w:rFonts w:ascii="宋体" w:hAnsi="宋体" w:cs="宋体"/>
          <w:sz w:val="24"/>
        </w:rPr>
      </w:pPr>
      <w:r>
        <w:rPr>
          <w:rFonts w:ascii="宋体" w:hAnsi="宋体" w:cs="宋体" w:hint="eastAsia"/>
          <w:sz w:val="24"/>
        </w:rPr>
        <w:t>（六）</w:t>
      </w:r>
      <w:r>
        <w:rPr>
          <w:rFonts w:ascii="宋体" w:hAnsi="宋体" w:cs="宋体"/>
          <w:sz w:val="24"/>
        </w:rPr>
        <w:t>中国证监会规定的其他情形。</w:t>
      </w:r>
    </w:p>
    <w:p w14:paraId="6CDEAC1B" w14:textId="77777777" w:rsidR="00166BB1" w:rsidRDefault="00166BB1">
      <w:pPr>
        <w:snapToGrid w:val="0"/>
        <w:spacing w:line="360" w:lineRule="auto"/>
        <w:ind w:firstLine="480"/>
        <w:rPr>
          <w:rFonts w:ascii="宋体" w:hAnsi="宋体"/>
          <w:bCs/>
          <w:sz w:val="24"/>
          <w:szCs w:val="24"/>
        </w:rPr>
      </w:pPr>
      <w:r>
        <w:rPr>
          <w:rFonts w:ascii="宋体" w:hAnsi="宋体" w:cs="宋体" w:hint="eastAsia"/>
          <w:sz w:val="24"/>
        </w:rPr>
        <w:t>若目标ETF变更标的指数，本基金将相应变更标的指数且继续投资于该目标ETF。但目标ETF召开基金份额持有人大会审议变更目标ETF标的指数事项的，本</w:t>
      </w:r>
      <w:proofErr w:type="gramStart"/>
      <w:r>
        <w:rPr>
          <w:rFonts w:ascii="宋体" w:hAnsi="宋体" w:cs="宋体"/>
          <w:sz w:val="24"/>
        </w:rPr>
        <w:t>基金</w:t>
      </w:r>
      <w:r>
        <w:rPr>
          <w:rFonts w:ascii="宋体" w:hAnsi="宋体" w:cs="宋体" w:hint="eastAsia"/>
          <w:sz w:val="24"/>
        </w:rPr>
        <w:t>基金</w:t>
      </w:r>
      <w:proofErr w:type="gramEnd"/>
      <w:r>
        <w:rPr>
          <w:rFonts w:ascii="宋体" w:hAnsi="宋体" w:cs="宋体" w:hint="eastAsia"/>
          <w:sz w:val="24"/>
        </w:rPr>
        <w:t>份额持有人应当根据基金合同约定参加目标ETF基金</w:t>
      </w:r>
      <w:r>
        <w:rPr>
          <w:rFonts w:ascii="宋体" w:hAnsi="宋体" w:cs="宋体"/>
          <w:sz w:val="24"/>
        </w:rPr>
        <w:t>份额</w:t>
      </w:r>
      <w:r>
        <w:rPr>
          <w:rFonts w:ascii="宋体" w:hAnsi="宋体" w:cs="宋体" w:hint="eastAsia"/>
          <w:sz w:val="24"/>
        </w:rPr>
        <w:t>持有人大会进行表决，目标ETF基金份额持有人大会审议通过变更标的指数事项的，本基金无需召开基金份额持有人大会即可相应变更标的指数并仍为该目标ETF的联接基金。</w:t>
      </w:r>
    </w:p>
    <w:p w14:paraId="357D67DE" w14:textId="77777777" w:rsidR="00166BB1" w:rsidRDefault="00166BB1">
      <w:pPr>
        <w:adjustRightInd w:val="0"/>
        <w:snapToGrid w:val="0"/>
        <w:spacing w:line="336" w:lineRule="auto"/>
        <w:ind w:firstLineChars="200" w:firstLine="480"/>
        <w:rPr>
          <w:rFonts w:ascii="宋体" w:hAnsi="宋体"/>
          <w:bCs/>
          <w:sz w:val="24"/>
          <w:szCs w:val="24"/>
        </w:rPr>
      </w:pPr>
      <w:r>
        <w:rPr>
          <w:rFonts w:ascii="宋体" w:hAnsi="宋体" w:hint="eastAsia"/>
          <w:bCs/>
          <w:sz w:val="24"/>
          <w:szCs w:val="24"/>
        </w:rPr>
        <w:t>九、</w:t>
      </w:r>
      <w:proofErr w:type="gramStart"/>
      <w:r>
        <w:rPr>
          <w:rFonts w:ascii="宋体" w:hAnsi="宋体" w:hint="eastAsia"/>
          <w:bCs/>
          <w:sz w:val="24"/>
          <w:szCs w:val="24"/>
        </w:rPr>
        <w:t>侧袋机制</w:t>
      </w:r>
      <w:proofErr w:type="gramEnd"/>
      <w:r>
        <w:rPr>
          <w:rFonts w:ascii="宋体" w:hAnsi="宋体" w:hint="eastAsia"/>
          <w:bCs/>
          <w:sz w:val="24"/>
          <w:szCs w:val="24"/>
        </w:rPr>
        <w:t>的实施和投资运作安排</w:t>
      </w:r>
    </w:p>
    <w:p w14:paraId="27068465" w14:textId="77777777" w:rsidR="00166BB1" w:rsidRDefault="00166BB1">
      <w:pPr>
        <w:adjustRightInd w:val="0"/>
        <w:snapToGrid w:val="0"/>
        <w:spacing w:line="336" w:lineRule="auto"/>
        <w:ind w:firstLineChars="200" w:firstLine="480"/>
        <w:rPr>
          <w:rFonts w:ascii="宋体" w:hAnsi="宋体"/>
          <w:bCs/>
          <w:sz w:val="24"/>
          <w:szCs w:val="24"/>
        </w:rPr>
      </w:pPr>
      <w:r>
        <w:rPr>
          <w:rFonts w:ascii="宋体" w:hAnsi="宋体" w:hint="eastAsia"/>
          <w:bCs/>
          <w:sz w:val="24"/>
          <w:szCs w:val="24"/>
        </w:rPr>
        <w:t>当基金持有特定资产且存在或潜在大额赎回申请时，根据最大限度保护基金份额持有人利益的原则，基金管理人经与基金托管人协商一致，并咨询会计师事</w:t>
      </w:r>
      <w:r>
        <w:rPr>
          <w:rFonts w:ascii="宋体" w:hAnsi="宋体" w:hint="eastAsia"/>
          <w:bCs/>
          <w:sz w:val="24"/>
          <w:szCs w:val="24"/>
        </w:rPr>
        <w:lastRenderedPageBreak/>
        <w:t>务所意见后，可以依照法律法规及基金合同的约定</w:t>
      </w:r>
      <w:proofErr w:type="gramStart"/>
      <w:r>
        <w:rPr>
          <w:rFonts w:ascii="宋体" w:hAnsi="宋体" w:hint="eastAsia"/>
          <w:bCs/>
          <w:sz w:val="24"/>
          <w:szCs w:val="24"/>
        </w:rPr>
        <w:t>启用侧袋机制</w:t>
      </w:r>
      <w:proofErr w:type="gramEnd"/>
      <w:r>
        <w:rPr>
          <w:rFonts w:ascii="宋体" w:hAnsi="宋体" w:hint="eastAsia"/>
          <w:bCs/>
          <w:sz w:val="24"/>
          <w:szCs w:val="24"/>
        </w:rPr>
        <w:t>。</w:t>
      </w:r>
    </w:p>
    <w:p w14:paraId="4011DAE0" w14:textId="77777777" w:rsidR="00166BB1" w:rsidRDefault="00166BB1">
      <w:pPr>
        <w:adjustRightInd w:val="0"/>
        <w:snapToGrid w:val="0"/>
        <w:spacing w:line="336" w:lineRule="auto"/>
        <w:ind w:firstLineChars="200" w:firstLine="480"/>
        <w:rPr>
          <w:rFonts w:ascii="宋体" w:hAnsi="宋体"/>
          <w:bCs/>
          <w:sz w:val="24"/>
          <w:szCs w:val="24"/>
        </w:rPr>
      </w:pPr>
      <w:proofErr w:type="gramStart"/>
      <w:r>
        <w:rPr>
          <w:rFonts w:ascii="宋体" w:hAnsi="宋体" w:hint="eastAsia"/>
          <w:bCs/>
          <w:sz w:val="24"/>
          <w:szCs w:val="24"/>
        </w:rPr>
        <w:t>侧袋机制</w:t>
      </w:r>
      <w:proofErr w:type="gramEnd"/>
      <w:r>
        <w:rPr>
          <w:rFonts w:ascii="宋体" w:hAnsi="宋体" w:hint="eastAsia"/>
          <w:bCs/>
          <w:sz w:val="24"/>
          <w:szCs w:val="24"/>
        </w:rPr>
        <w:t>实施期间，本部分约定的投资组合比例、投资策略、组合限制、业绩比较基准、风险收益特征等约定仅</w:t>
      </w:r>
      <w:proofErr w:type="gramStart"/>
      <w:r>
        <w:rPr>
          <w:rFonts w:ascii="宋体" w:hAnsi="宋体" w:hint="eastAsia"/>
          <w:bCs/>
          <w:sz w:val="24"/>
          <w:szCs w:val="24"/>
        </w:rPr>
        <w:t>适用于主袋账户</w:t>
      </w:r>
      <w:proofErr w:type="gramEnd"/>
      <w:r>
        <w:rPr>
          <w:rFonts w:ascii="宋体" w:hAnsi="宋体" w:hint="eastAsia"/>
          <w:bCs/>
          <w:sz w:val="24"/>
          <w:szCs w:val="24"/>
        </w:rPr>
        <w:t>。</w:t>
      </w:r>
    </w:p>
    <w:p w14:paraId="0806A875" w14:textId="77777777" w:rsidR="00166BB1" w:rsidRDefault="00166BB1">
      <w:pPr>
        <w:adjustRightInd w:val="0"/>
        <w:snapToGrid w:val="0"/>
        <w:spacing w:line="336" w:lineRule="auto"/>
        <w:ind w:firstLineChars="200" w:firstLine="480"/>
        <w:rPr>
          <w:rFonts w:ascii="宋体" w:hAnsi="宋体"/>
          <w:bCs/>
          <w:sz w:val="24"/>
          <w:szCs w:val="24"/>
        </w:rPr>
      </w:pPr>
      <w:proofErr w:type="gramStart"/>
      <w:r>
        <w:rPr>
          <w:rFonts w:ascii="宋体" w:hAnsi="宋体" w:hint="eastAsia"/>
          <w:bCs/>
          <w:sz w:val="24"/>
          <w:szCs w:val="24"/>
        </w:rPr>
        <w:t>侧袋账户</w:t>
      </w:r>
      <w:proofErr w:type="gramEnd"/>
      <w:r>
        <w:rPr>
          <w:rFonts w:ascii="宋体" w:hAnsi="宋体" w:hint="eastAsia"/>
          <w:bCs/>
          <w:sz w:val="24"/>
          <w:szCs w:val="24"/>
        </w:rPr>
        <w:t>的实施条件、实施程序、运作安排、投资安排、特定资产的处置变现和支付等对投资者权益有重大影响的事项详见招募说明书的规定。</w:t>
      </w:r>
    </w:p>
    <w:p w14:paraId="02794542" w14:textId="77777777" w:rsidR="00166BB1" w:rsidRDefault="00166BB1">
      <w:pPr>
        <w:pStyle w:val="1"/>
        <w:spacing w:before="0" w:after="0"/>
        <w:jc w:val="center"/>
        <w:rPr>
          <w:rFonts w:ascii="Times New Roman"/>
          <w:color w:val="auto"/>
          <w:sz w:val="32"/>
        </w:rPr>
      </w:pPr>
      <w:r>
        <w:rPr>
          <w:rFonts w:ascii="Times New Roman"/>
          <w:b w:val="0"/>
          <w:bCs/>
          <w:color w:val="auto"/>
          <w:kern w:val="44"/>
          <w:sz w:val="21"/>
        </w:rPr>
        <w:br w:type="page"/>
      </w:r>
      <w:bookmarkStart w:id="298" w:name="_Toc92662704"/>
      <w:bookmarkStart w:id="299" w:name="_Toc93226145"/>
      <w:bookmarkStart w:id="300" w:name="_Toc128310496"/>
      <w:bookmarkStart w:id="301" w:name="_Toc32030"/>
      <w:bookmarkStart w:id="302" w:name="_Toc18000"/>
      <w:bookmarkStart w:id="303" w:name="_Toc3054"/>
      <w:bookmarkStart w:id="304" w:name="_Toc20102"/>
      <w:bookmarkStart w:id="305" w:name="_Toc89430568"/>
      <w:bookmarkStart w:id="306" w:name="_Toc31611"/>
      <w:bookmarkStart w:id="307" w:name="_Toc29561"/>
      <w:bookmarkStart w:id="308" w:name="_Toc21642"/>
      <w:bookmarkStart w:id="309" w:name="_Toc139991743"/>
      <w:bookmarkStart w:id="310" w:name="_Toc141703893"/>
      <w:bookmarkStart w:id="311" w:name="_Toc531676880"/>
      <w:bookmarkStart w:id="312" w:name="_Toc26114"/>
      <w:bookmarkStart w:id="313" w:name="_Toc20782"/>
      <w:bookmarkStart w:id="314" w:name="_Toc24474"/>
      <w:r>
        <w:rPr>
          <w:rFonts w:ascii="Times New Roman"/>
          <w:color w:val="auto"/>
          <w:sz w:val="32"/>
        </w:rPr>
        <w:lastRenderedPageBreak/>
        <w:t>第十</w:t>
      </w:r>
      <w:r>
        <w:rPr>
          <w:rFonts w:ascii="Times New Roman" w:hint="eastAsia"/>
          <w:color w:val="auto"/>
          <w:sz w:val="32"/>
        </w:rPr>
        <w:t>三</w:t>
      </w:r>
      <w:r>
        <w:rPr>
          <w:rFonts w:ascii="Times New Roman"/>
          <w:color w:val="auto"/>
          <w:sz w:val="32"/>
        </w:rPr>
        <w:t>部分</w:t>
      </w:r>
      <w:r>
        <w:rPr>
          <w:rFonts w:ascii="Times New Roman" w:hint="eastAsia"/>
          <w:color w:val="auto"/>
          <w:sz w:val="32"/>
        </w:rPr>
        <w:t xml:space="preserve">  </w:t>
      </w:r>
      <w:r>
        <w:rPr>
          <w:rFonts w:ascii="Times New Roman"/>
          <w:color w:val="auto"/>
          <w:sz w:val="32"/>
        </w:rPr>
        <w:t>基金</w:t>
      </w:r>
      <w:bookmarkEnd w:id="298"/>
      <w:bookmarkEnd w:id="299"/>
      <w:r>
        <w:rPr>
          <w:rFonts w:ascii="Times New Roman"/>
          <w:color w:val="auto"/>
          <w:sz w:val="32"/>
        </w:rPr>
        <w:t>的财产</w:t>
      </w:r>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p>
    <w:p w14:paraId="0162A3A9" w14:textId="77777777" w:rsidR="00166BB1" w:rsidRDefault="00166BB1">
      <w:pPr>
        <w:spacing w:line="360" w:lineRule="auto"/>
        <w:ind w:firstLineChars="200" w:firstLine="480"/>
        <w:rPr>
          <w:bCs/>
          <w:sz w:val="24"/>
        </w:rPr>
      </w:pPr>
    </w:p>
    <w:p w14:paraId="402D4418" w14:textId="77777777" w:rsidR="00166BB1" w:rsidRDefault="00166BB1">
      <w:pPr>
        <w:adjustRightInd w:val="0"/>
        <w:snapToGrid w:val="0"/>
        <w:spacing w:line="360" w:lineRule="auto"/>
        <w:ind w:firstLineChars="200" w:firstLine="480"/>
        <w:rPr>
          <w:bCs/>
          <w:sz w:val="24"/>
        </w:rPr>
      </w:pPr>
      <w:r>
        <w:rPr>
          <w:bCs/>
          <w:sz w:val="24"/>
        </w:rPr>
        <w:t>一、基金资产总值</w:t>
      </w:r>
    </w:p>
    <w:p w14:paraId="239A11F3" w14:textId="77777777" w:rsidR="00166BB1" w:rsidRDefault="00166BB1">
      <w:pPr>
        <w:adjustRightInd w:val="0"/>
        <w:snapToGrid w:val="0"/>
        <w:spacing w:line="360" w:lineRule="auto"/>
        <w:ind w:firstLineChars="200" w:firstLine="480"/>
        <w:rPr>
          <w:bCs/>
          <w:sz w:val="24"/>
        </w:rPr>
      </w:pPr>
      <w:r>
        <w:rPr>
          <w:rFonts w:hint="eastAsia"/>
          <w:bCs/>
          <w:sz w:val="24"/>
        </w:rPr>
        <w:t>基金资产总值是指基金拥有的目标</w:t>
      </w:r>
      <w:r>
        <w:rPr>
          <w:rFonts w:hint="eastAsia"/>
          <w:bCs/>
          <w:sz w:val="24"/>
        </w:rPr>
        <w:t>ETF</w:t>
      </w:r>
      <w:r>
        <w:rPr>
          <w:rFonts w:hint="eastAsia"/>
          <w:bCs/>
          <w:sz w:val="24"/>
        </w:rPr>
        <w:t>份额、各类有价证券、银行存款本息、基金应收款项及其他资产的价值总和。</w:t>
      </w:r>
    </w:p>
    <w:p w14:paraId="68AF57B7" w14:textId="77777777" w:rsidR="00166BB1" w:rsidRDefault="00166BB1">
      <w:pPr>
        <w:adjustRightInd w:val="0"/>
        <w:snapToGrid w:val="0"/>
        <w:spacing w:line="360" w:lineRule="auto"/>
        <w:ind w:firstLineChars="200" w:firstLine="480"/>
        <w:rPr>
          <w:bCs/>
          <w:sz w:val="24"/>
        </w:rPr>
      </w:pPr>
      <w:r>
        <w:rPr>
          <w:bCs/>
          <w:sz w:val="24"/>
        </w:rPr>
        <w:t>二、基金资产净值</w:t>
      </w:r>
    </w:p>
    <w:p w14:paraId="29C4E96A" w14:textId="77777777" w:rsidR="00166BB1" w:rsidRDefault="00166BB1">
      <w:pPr>
        <w:adjustRightInd w:val="0"/>
        <w:snapToGrid w:val="0"/>
        <w:spacing w:line="360" w:lineRule="auto"/>
        <w:ind w:firstLineChars="200" w:firstLine="480"/>
        <w:rPr>
          <w:bCs/>
          <w:sz w:val="24"/>
        </w:rPr>
      </w:pPr>
      <w:r>
        <w:rPr>
          <w:bCs/>
          <w:sz w:val="24"/>
        </w:rPr>
        <w:t>基金资产净值是指基金资产总值减去基金负债后的价值。</w:t>
      </w:r>
    </w:p>
    <w:p w14:paraId="023B4A7F" w14:textId="77777777" w:rsidR="00166BB1" w:rsidRDefault="00166BB1">
      <w:pPr>
        <w:adjustRightInd w:val="0"/>
        <w:snapToGrid w:val="0"/>
        <w:spacing w:line="360" w:lineRule="auto"/>
        <w:ind w:firstLineChars="200" w:firstLine="480"/>
        <w:rPr>
          <w:bCs/>
          <w:sz w:val="24"/>
        </w:rPr>
      </w:pPr>
      <w:r>
        <w:rPr>
          <w:bCs/>
          <w:sz w:val="24"/>
        </w:rPr>
        <w:t>三、基金财产的账户</w:t>
      </w:r>
    </w:p>
    <w:p w14:paraId="37A5AC73" w14:textId="77777777" w:rsidR="00166BB1" w:rsidRDefault="00166BB1">
      <w:pPr>
        <w:adjustRightInd w:val="0"/>
        <w:snapToGrid w:val="0"/>
        <w:spacing w:line="360" w:lineRule="auto"/>
        <w:ind w:firstLineChars="200" w:firstLine="480"/>
      </w:pPr>
      <w:r>
        <w:rPr>
          <w:bCs/>
          <w:sz w:val="24"/>
        </w:rPr>
        <w:t>基金托管人根据相关法律法规、规范性文件为本基金开立资金</w:t>
      </w:r>
      <w:r>
        <w:rPr>
          <w:rFonts w:hint="eastAsia"/>
          <w:bCs/>
          <w:sz w:val="24"/>
        </w:rPr>
        <w:t>账户</w:t>
      </w:r>
      <w:r>
        <w:rPr>
          <w:bCs/>
          <w:sz w:val="24"/>
        </w:rPr>
        <w:t>、证券</w:t>
      </w:r>
      <w:r>
        <w:rPr>
          <w:rFonts w:hint="eastAsia"/>
          <w:bCs/>
          <w:sz w:val="24"/>
        </w:rPr>
        <w:t>账户</w:t>
      </w:r>
      <w:r>
        <w:rPr>
          <w:bCs/>
          <w:sz w:val="24"/>
        </w:rPr>
        <w:t>以及投资所需的其他专用</w:t>
      </w:r>
      <w:r>
        <w:rPr>
          <w:rFonts w:hint="eastAsia"/>
          <w:bCs/>
          <w:sz w:val="24"/>
        </w:rPr>
        <w:t>账户</w:t>
      </w:r>
      <w:r>
        <w:rPr>
          <w:bCs/>
          <w:sz w:val="24"/>
        </w:rPr>
        <w:t>。开立的基金专用账户与基金管理人、基金托管人、销售机构</w:t>
      </w:r>
      <w:r>
        <w:rPr>
          <w:rFonts w:hint="eastAsia"/>
          <w:bCs/>
          <w:sz w:val="24"/>
        </w:rPr>
        <w:t>、证券经纪机构</w:t>
      </w:r>
      <w:r>
        <w:rPr>
          <w:bCs/>
          <w:sz w:val="24"/>
        </w:rPr>
        <w:t>和基金登记机构自有的财产账户以及其他基金财产账户相独立。</w:t>
      </w:r>
      <w:bookmarkStart w:id="315" w:name="_Hlt88841837"/>
      <w:bookmarkEnd w:id="315"/>
    </w:p>
    <w:p w14:paraId="69D5881A" w14:textId="77777777" w:rsidR="00166BB1" w:rsidRDefault="00166BB1">
      <w:pPr>
        <w:adjustRightInd w:val="0"/>
        <w:snapToGrid w:val="0"/>
        <w:spacing w:line="360" w:lineRule="auto"/>
        <w:ind w:firstLineChars="200" w:firstLine="480"/>
        <w:rPr>
          <w:bCs/>
          <w:sz w:val="24"/>
        </w:rPr>
      </w:pPr>
      <w:r>
        <w:rPr>
          <w:bCs/>
          <w:sz w:val="24"/>
        </w:rPr>
        <w:t>四、基金财产的保管和处分</w:t>
      </w:r>
      <w:bookmarkStart w:id="316" w:name="_Hlt88900062"/>
      <w:bookmarkEnd w:id="316"/>
    </w:p>
    <w:p w14:paraId="3FD3337F" w14:textId="77777777" w:rsidR="00166BB1" w:rsidRDefault="00166BB1">
      <w:pPr>
        <w:adjustRightInd w:val="0"/>
        <w:snapToGrid w:val="0"/>
        <w:spacing w:line="360" w:lineRule="auto"/>
        <w:ind w:firstLineChars="200" w:firstLine="480"/>
        <w:rPr>
          <w:bCs/>
          <w:sz w:val="24"/>
        </w:rPr>
      </w:pPr>
      <w:r>
        <w:rPr>
          <w:bCs/>
          <w:sz w:val="24"/>
        </w:rPr>
        <w:t>本基金财产独立于基金管理人、基金托管人</w:t>
      </w:r>
      <w:r>
        <w:rPr>
          <w:rFonts w:hint="eastAsia"/>
          <w:bCs/>
          <w:sz w:val="24"/>
        </w:rPr>
        <w:t>、证券经纪机构</w:t>
      </w:r>
      <w:r>
        <w:rPr>
          <w:bCs/>
          <w:sz w:val="24"/>
        </w:rPr>
        <w:t>和</w:t>
      </w:r>
      <w:r>
        <w:rPr>
          <w:rFonts w:hint="eastAsia"/>
          <w:bCs/>
          <w:sz w:val="24"/>
        </w:rPr>
        <w:t>销售</w:t>
      </w:r>
      <w:r>
        <w:rPr>
          <w:bCs/>
          <w:sz w:val="24"/>
        </w:rPr>
        <w:t>机构的财产，并由基金托管人</w:t>
      </w:r>
      <w:r>
        <w:rPr>
          <w:rFonts w:hint="eastAsia"/>
          <w:bCs/>
          <w:sz w:val="24"/>
        </w:rPr>
        <w:t>、证券经纪机构</w:t>
      </w:r>
      <w:r>
        <w:rPr>
          <w:bCs/>
          <w:sz w:val="24"/>
        </w:rPr>
        <w:t>保管。基金管理人、基金托管人、基金登记机构</w:t>
      </w:r>
      <w:r>
        <w:rPr>
          <w:rFonts w:hint="eastAsia"/>
          <w:bCs/>
          <w:sz w:val="24"/>
        </w:rPr>
        <w:t>、证券经纪机构</w:t>
      </w:r>
      <w:r>
        <w:rPr>
          <w:bCs/>
          <w:sz w:val="24"/>
        </w:rPr>
        <w:t>和销售机构以其自有的财产承担其自身的法律责任，其债权人不得对本基金财产行使请求冻结、扣押或其他权利。除依法</w:t>
      </w:r>
      <w:proofErr w:type="gramStart"/>
      <w:r>
        <w:rPr>
          <w:bCs/>
          <w:sz w:val="24"/>
        </w:rPr>
        <w:t>律法规</w:t>
      </w:r>
      <w:proofErr w:type="gramEnd"/>
      <w:r>
        <w:rPr>
          <w:bCs/>
          <w:sz w:val="24"/>
        </w:rPr>
        <w:t>和基金合同的规定处分外，基金财产不得被处分。</w:t>
      </w:r>
    </w:p>
    <w:p w14:paraId="246B781D" w14:textId="77777777" w:rsidR="00166BB1" w:rsidRDefault="00166BB1">
      <w:pPr>
        <w:adjustRightInd w:val="0"/>
        <w:snapToGrid w:val="0"/>
        <w:spacing w:line="360" w:lineRule="auto"/>
        <w:ind w:firstLineChars="200" w:firstLine="480"/>
        <w:rPr>
          <w:bCs/>
          <w:sz w:val="24"/>
        </w:rPr>
      </w:pPr>
      <w:r>
        <w:rPr>
          <w:bCs/>
          <w:sz w:val="24"/>
        </w:rPr>
        <w:t>基金管理人、基金托管人</w:t>
      </w:r>
      <w:r>
        <w:rPr>
          <w:rFonts w:hint="eastAsia"/>
          <w:bCs/>
          <w:sz w:val="24"/>
        </w:rPr>
        <w:t>、证券经纪机构</w:t>
      </w:r>
      <w:r>
        <w:rPr>
          <w:bCs/>
          <w:sz w:val="24"/>
        </w:rPr>
        <w:t>因依法解散、被依法撤销或者被依法宣告破产等原因进行清算的，基金财产不属于其清算财产。基金管理人管理运作基金财产所产生的债权，不得与其固有资产产生的债务相互</w:t>
      </w:r>
      <w:proofErr w:type="gramStart"/>
      <w:r>
        <w:rPr>
          <w:bCs/>
          <w:sz w:val="24"/>
        </w:rPr>
        <w:t>抵销</w:t>
      </w:r>
      <w:proofErr w:type="gramEnd"/>
      <w:r>
        <w:rPr>
          <w:bCs/>
          <w:sz w:val="24"/>
        </w:rPr>
        <w:t>；基金管理人管理运作不同基金的基金财产所产生的债权债务不得相互</w:t>
      </w:r>
      <w:proofErr w:type="gramStart"/>
      <w:r>
        <w:rPr>
          <w:bCs/>
          <w:sz w:val="24"/>
        </w:rPr>
        <w:t>抵销</w:t>
      </w:r>
      <w:proofErr w:type="gramEnd"/>
      <w:r>
        <w:rPr>
          <w:bCs/>
          <w:sz w:val="24"/>
        </w:rPr>
        <w:t>。</w:t>
      </w:r>
      <w:r>
        <w:rPr>
          <w:rFonts w:hint="eastAsia"/>
          <w:bCs/>
          <w:sz w:val="24"/>
        </w:rPr>
        <w:t>非因基金财产本身承担的债务，不得对基金财产强制执行。</w:t>
      </w:r>
    </w:p>
    <w:p w14:paraId="49EBB65E" w14:textId="77777777" w:rsidR="00166BB1" w:rsidRDefault="00166BB1">
      <w:pPr>
        <w:pStyle w:val="1"/>
        <w:spacing w:before="0" w:after="0"/>
        <w:jc w:val="center"/>
        <w:rPr>
          <w:rFonts w:ascii="Times New Roman"/>
          <w:color w:val="auto"/>
          <w:sz w:val="32"/>
        </w:rPr>
      </w:pPr>
      <w:r>
        <w:rPr>
          <w:rFonts w:ascii="Times New Roman"/>
          <w:b w:val="0"/>
          <w:bCs/>
          <w:color w:val="auto"/>
          <w:kern w:val="44"/>
          <w:sz w:val="21"/>
        </w:rPr>
        <w:br w:type="page"/>
      </w:r>
      <w:bookmarkStart w:id="317" w:name="_Toc871"/>
      <w:bookmarkStart w:id="318" w:name="_Toc89430569"/>
      <w:bookmarkStart w:id="319" w:name="_Toc19714"/>
      <w:bookmarkStart w:id="320" w:name="_Toc531676881"/>
      <w:bookmarkStart w:id="321" w:name="_Toc7802"/>
      <w:bookmarkStart w:id="322" w:name="_Toc17782"/>
      <w:bookmarkStart w:id="323" w:name="_Toc27832"/>
      <w:bookmarkStart w:id="324" w:name="_Toc31917"/>
      <w:bookmarkStart w:id="325" w:name="_Toc139991744"/>
      <w:bookmarkStart w:id="326" w:name="_Toc141703894"/>
      <w:r>
        <w:rPr>
          <w:rFonts w:ascii="Times New Roman"/>
          <w:color w:val="auto"/>
          <w:sz w:val="32"/>
        </w:rPr>
        <w:lastRenderedPageBreak/>
        <w:t>第十</w:t>
      </w:r>
      <w:r>
        <w:rPr>
          <w:rFonts w:ascii="Times New Roman" w:hint="eastAsia"/>
          <w:color w:val="auto"/>
          <w:sz w:val="32"/>
        </w:rPr>
        <w:t>四</w:t>
      </w:r>
      <w:r>
        <w:rPr>
          <w:rFonts w:ascii="Times New Roman"/>
          <w:color w:val="auto"/>
          <w:sz w:val="32"/>
        </w:rPr>
        <w:t>部分</w:t>
      </w:r>
      <w:r>
        <w:rPr>
          <w:rFonts w:ascii="Times New Roman" w:hint="eastAsia"/>
          <w:color w:val="auto"/>
          <w:sz w:val="32"/>
        </w:rPr>
        <w:t xml:space="preserve">  </w:t>
      </w:r>
      <w:r>
        <w:rPr>
          <w:rFonts w:ascii="Times New Roman"/>
          <w:color w:val="auto"/>
          <w:sz w:val="32"/>
        </w:rPr>
        <w:t>基金资产估值</w:t>
      </w:r>
      <w:bookmarkEnd w:id="317"/>
      <w:bookmarkEnd w:id="318"/>
      <w:bookmarkEnd w:id="319"/>
      <w:bookmarkEnd w:id="320"/>
      <w:bookmarkEnd w:id="321"/>
      <w:bookmarkEnd w:id="322"/>
      <w:bookmarkEnd w:id="323"/>
      <w:bookmarkEnd w:id="324"/>
    </w:p>
    <w:p w14:paraId="72C01913" w14:textId="77777777" w:rsidR="00166BB1" w:rsidRDefault="00166BB1">
      <w:pPr>
        <w:spacing w:line="360" w:lineRule="auto"/>
        <w:ind w:firstLineChars="200" w:firstLine="480"/>
        <w:rPr>
          <w:bCs/>
          <w:sz w:val="24"/>
        </w:rPr>
      </w:pPr>
    </w:p>
    <w:p w14:paraId="4E8EE171" w14:textId="77777777" w:rsidR="00166BB1" w:rsidRDefault="00166BB1">
      <w:pPr>
        <w:adjustRightInd w:val="0"/>
        <w:snapToGrid w:val="0"/>
        <w:spacing w:line="360" w:lineRule="auto"/>
        <w:ind w:firstLineChars="200" w:firstLine="480"/>
        <w:rPr>
          <w:rFonts w:ascii="宋体" w:hAnsi="宋体"/>
          <w:bCs/>
          <w:sz w:val="24"/>
          <w:szCs w:val="24"/>
        </w:rPr>
      </w:pPr>
      <w:bookmarkStart w:id="327" w:name="_Toc141703895"/>
      <w:bookmarkStart w:id="328" w:name="_Toc139991745"/>
      <w:bookmarkStart w:id="329" w:name="_Toc32046"/>
      <w:bookmarkEnd w:id="325"/>
      <w:bookmarkEnd w:id="326"/>
      <w:r>
        <w:rPr>
          <w:rFonts w:ascii="宋体" w:hAnsi="宋体"/>
          <w:bCs/>
          <w:sz w:val="24"/>
          <w:szCs w:val="24"/>
        </w:rPr>
        <w:t>一、估值日</w:t>
      </w:r>
    </w:p>
    <w:p w14:paraId="5A6B897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本基金的估值日为本基金相关的证券</w:t>
      </w:r>
      <w:r>
        <w:rPr>
          <w:rFonts w:ascii="宋体" w:hAnsi="宋体" w:hint="eastAsia"/>
          <w:bCs/>
          <w:sz w:val="24"/>
          <w:szCs w:val="24"/>
        </w:rPr>
        <w:t>/期货</w:t>
      </w:r>
      <w:r>
        <w:rPr>
          <w:rFonts w:ascii="宋体" w:hAnsi="宋体"/>
          <w:bCs/>
          <w:sz w:val="24"/>
          <w:szCs w:val="24"/>
        </w:rPr>
        <w:t>交易场所的交易日以及国家法律法规规定需要对外披露基金净值的</w:t>
      </w:r>
      <w:proofErr w:type="gramStart"/>
      <w:r>
        <w:rPr>
          <w:rFonts w:ascii="宋体" w:hAnsi="宋体"/>
          <w:bCs/>
          <w:sz w:val="24"/>
          <w:szCs w:val="24"/>
        </w:rPr>
        <w:t>非交易</w:t>
      </w:r>
      <w:proofErr w:type="gramEnd"/>
      <w:r>
        <w:rPr>
          <w:rFonts w:ascii="宋体" w:hAnsi="宋体"/>
          <w:bCs/>
          <w:sz w:val="24"/>
          <w:szCs w:val="24"/>
        </w:rPr>
        <w:t>日。</w:t>
      </w:r>
    </w:p>
    <w:p w14:paraId="6A86474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二、估值对象</w:t>
      </w:r>
    </w:p>
    <w:p w14:paraId="3C69DBA4" w14:textId="77777777" w:rsidR="00166BB1" w:rsidRDefault="00166BB1">
      <w:pPr>
        <w:snapToGrid w:val="0"/>
        <w:spacing w:line="360" w:lineRule="auto"/>
        <w:ind w:firstLine="480"/>
        <w:rPr>
          <w:rFonts w:ascii="宋体" w:hAnsi="宋体"/>
          <w:bCs/>
          <w:sz w:val="24"/>
          <w:szCs w:val="24"/>
        </w:rPr>
      </w:pPr>
      <w:bookmarkStart w:id="330" w:name="_Hlk191807356"/>
      <w:r>
        <w:rPr>
          <w:rFonts w:ascii="宋体" w:hAnsi="宋体" w:hint="eastAsia"/>
          <w:bCs/>
          <w:sz w:val="24"/>
          <w:szCs w:val="24"/>
        </w:rPr>
        <w:t>基金所拥有的目标ETF基金份额、股票、股指期货合约、股票期权合约、国债期货合约、债券和银行存款本息、资产支持证券、应收款项、其它投资等资产及负债。</w:t>
      </w:r>
      <w:bookmarkEnd w:id="330"/>
    </w:p>
    <w:p w14:paraId="441C02C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三、估值原则</w:t>
      </w:r>
    </w:p>
    <w:p w14:paraId="01A3BB8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基金管理人在确定相关金融资产和金融负债的公允价值时，应符合《企业会计准则》、监管部门有关规定。</w:t>
      </w:r>
    </w:p>
    <w:p w14:paraId="015EE49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07462E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7C03FCE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400A944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（三）如经济环境发生重大变化或证券发行人发生影响证券价格的重大事件，使潜在估值调整对前一估值日的基金资产净值的影响在0.25%以上的，应对估值</w:t>
      </w:r>
      <w:r>
        <w:rPr>
          <w:rFonts w:ascii="宋体" w:hAnsi="宋体" w:hint="eastAsia"/>
          <w:bCs/>
          <w:sz w:val="24"/>
          <w:szCs w:val="24"/>
        </w:rPr>
        <w:lastRenderedPageBreak/>
        <w:t>进行调整并确定公允价值。</w:t>
      </w:r>
      <w:bookmarkStart w:id="331" w:name="OLE_LINK8"/>
      <w:bookmarkStart w:id="332" w:name="OLE_LINK7"/>
    </w:p>
    <w:p w14:paraId="70E671C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四、估值方法</w:t>
      </w:r>
    </w:p>
    <w:p w14:paraId="53A7DC4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1、目标ETF的估值</w:t>
      </w:r>
    </w:p>
    <w:p w14:paraId="69BA425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本基金投资的目标ETF份额以其估值日基金份额净值估值，若估值日为非证券交易所营业日，以该基金最近估值日的基金份额净值估值。</w:t>
      </w:r>
    </w:p>
    <w:p w14:paraId="2991014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2、证券交易所上市的有价证券的估值</w:t>
      </w:r>
    </w:p>
    <w:p w14:paraId="3AEB585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交易所上市的有价证券（包括股票等），以其估值日在证券交易所挂牌的市价（收盘价）估值；估值日无市价，但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值；</w:t>
      </w:r>
    </w:p>
    <w:p w14:paraId="71A9B18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（2）对于已上市或已挂牌转让的不含</w:t>
      </w:r>
      <w:proofErr w:type="gramStart"/>
      <w:r>
        <w:rPr>
          <w:rFonts w:ascii="宋体" w:hAnsi="宋体" w:hint="eastAsia"/>
          <w:bCs/>
          <w:sz w:val="24"/>
          <w:szCs w:val="24"/>
        </w:rPr>
        <w:t>权固定</w:t>
      </w:r>
      <w:proofErr w:type="gramEnd"/>
      <w:r>
        <w:rPr>
          <w:rFonts w:ascii="宋体" w:hAnsi="宋体" w:hint="eastAsia"/>
          <w:bCs/>
          <w:sz w:val="24"/>
          <w:szCs w:val="24"/>
        </w:rPr>
        <w:t>收益品种（法规另有规定的除外），选取第三方估值基准服务机构提供的相应品种当日的估值全价，基金管理人根据相关法律、法规的规定进行涉税处理(下同)。对于已上市或已挂牌转让的含</w:t>
      </w:r>
      <w:proofErr w:type="gramStart"/>
      <w:r>
        <w:rPr>
          <w:rFonts w:ascii="宋体" w:hAnsi="宋体" w:hint="eastAsia"/>
          <w:bCs/>
          <w:sz w:val="24"/>
          <w:szCs w:val="24"/>
        </w:rPr>
        <w:t>权固定</w:t>
      </w:r>
      <w:proofErr w:type="gramEnd"/>
      <w:r>
        <w:rPr>
          <w:rFonts w:ascii="宋体" w:hAnsi="宋体" w:hint="eastAsia"/>
          <w:bCs/>
          <w:sz w:val="24"/>
          <w:szCs w:val="24"/>
        </w:rPr>
        <w:t>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如最近交易日后经济环境发生了重大变化的，可参考类似投资品种的现行市价及重大变化因素，调整最近交易市价，确定公允价值；</w:t>
      </w:r>
    </w:p>
    <w:p w14:paraId="160BE49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（3）交易所上市交易的公开发行的可转换公司债</w:t>
      </w:r>
      <w:proofErr w:type="gramStart"/>
      <w:r>
        <w:rPr>
          <w:rFonts w:ascii="宋体" w:hAnsi="宋体" w:hint="eastAsia"/>
          <w:bCs/>
          <w:sz w:val="24"/>
          <w:szCs w:val="24"/>
        </w:rPr>
        <w:t>券</w:t>
      </w:r>
      <w:proofErr w:type="gramEnd"/>
      <w:r>
        <w:rPr>
          <w:rFonts w:ascii="宋体" w:hAnsi="宋体" w:hint="eastAsia"/>
          <w:bCs/>
          <w:sz w:val="24"/>
          <w:szCs w:val="24"/>
        </w:rPr>
        <w:t>等有活跃市场的含转股权的债券，实行全价交易的债券选取估值日收盘价作为估值全价；实行净价交易的债券选取估值日收盘价并加计每百元税前应计利息作为估值全价。估值日没有交易的，且最近交易日后经济环境未发生重大变化，按最近交易日债券收盘价并加计每百元税前应计利息作为估值全价。如最近交易日后经济环境发生了重大变化的，可参考类似投资品种的现行市价及重大变化因素，调整最近交易市价，确定公允价值；</w:t>
      </w:r>
    </w:p>
    <w:p w14:paraId="614DC51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（4）本基金投资存托凭证的估值核算，依照境内上市交易的股票执行。</w:t>
      </w:r>
    </w:p>
    <w:p w14:paraId="7F8E87F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3、处于未上市期间的有价证券应区分如下情况处理：</w:t>
      </w:r>
    </w:p>
    <w:p w14:paraId="1A044BE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（1）送股、转增股、配股和公开增发的股票，按估值日在证券交易所挂牌的同一股票的估值方法估值；该日无交易的，以最近一日的市价（收盘价）估值；</w:t>
      </w:r>
    </w:p>
    <w:p w14:paraId="31DFD58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（2）首次公开发行未上市的股票，采用估值技术确定公允价值；</w:t>
      </w:r>
    </w:p>
    <w:p w14:paraId="730F46E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（3）流通受限的股票，包括非公开发行股票、首次公开发行股票时公司股东公开发售股份、通过大宗交易取得的带限售期的股票等（不包括停牌、新发行未上市、回购交易中的质押</w:t>
      </w:r>
      <w:proofErr w:type="gramStart"/>
      <w:r>
        <w:rPr>
          <w:rFonts w:ascii="宋体" w:hAnsi="宋体" w:hint="eastAsia"/>
          <w:bCs/>
          <w:sz w:val="24"/>
          <w:szCs w:val="24"/>
        </w:rPr>
        <w:t>券</w:t>
      </w:r>
      <w:proofErr w:type="gramEnd"/>
      <w:r>
        <w:rPr>
          <w:rFonts w:ascii="宋体" w:hAnsi="宋体" w:hint="eastAsia"/>
          <w:bCs/>
          <w:sz w:val="24"/>
          <w:szCs w:val="24"/>
        </w:rPr>
        <w:t>等流通受限股票），按监管机构或行业协会有关规定确定公允价值；</w:t>
      </w:r>
    </w:p>
    <w:p w14:paraId="2C1FE1D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（4）对于未上市或未挂牌转让且不存在活跃市场的固定收益品种，采用在当前情况下适用并且有足够可利用数据和其他信息支持的估值技术确定其公允价值。</w:t>
      </w:r>
    </w:p>
    <w:p w14:paraId="5E289BF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4、对全国银行间市场已上市或已挂牌转让的不含</w:t>
      </w:r>
      <w:proofErr w:type="gramStart"/>
      <w:r>
        <w:rPr>
          <w:rFonts w:ascii="宋体" w:hAnsi="宋体" w:hint="eastAsia"/>
          <w:bCs/>
          <w:sz w:val="24"/>
          <w:szCs w:val="24"/>
        </w:rPr>
        <w:t>权固定</w:t>
      </w:r>
      <w:proofErr w:type="gramEnd"/>
      <w:r>
        <w:rPr>
          <w:rFonts w:ascii="宋体" w:hAnsi="宋体" w:hint="eastAsia"/>
          <w:bCs/>
          <w:sz w:val="24"/>
          <w:szCs w:val="24"/>
        </w:rPr>
        <w:t>收益品种（法规另有规定的除外），选取第三方估值基准服务机构提供的相应品种当日的估值全价，基金管理人根据相关法律、法规的规定进行涉税处理(下同)。对于已上市或已挂牌转让的含</w:t>
      </w:r>
      <w:proofErr w:type="gramStart"/>
      <w:r>
        <w:rPr>
          <w:rFonts w:ascii="宋体" w:hAnsi="宋体" w:hint="eastAsia"/>
          <w:bCs/>
          <w:sz w:val="24"/>
          <w:szCs w:val="24"/>
        </w:rPr>
        <w:t>权固定</w:t>
      </w:r>
      <w:proofErr w:type="gramEnd"/>
      <w:r>
        <w:rPr>
          <w:rFonts w:ascii="宋体" w:hAnsi="宋体" w:hint="eastAsia"/>
          <w:bCs/>
          <w:sz w:val="24"/>
          <w:szCs w:val="24"/>
        </w:rPr>
        <w:t>收益品种（法规另有规定的除外），选取第三方估值基准服务机构提供的相应品种当日的唯一估值全价或推荐估值全价。对于含投资者回售权的固定收益品种，行使回售权的，在回售登记日至实际收款日期间选取第三方估值基准服务机构提供的相应品种的唯一估值全价或推荐估值全价，同时充分考虑发行人的信用风险变化对公允价值的影响。回售登记期截止日（含当日）后未行使回售权的按照长待偿期所对应的价格进行估值。如最近交易日后经济环境发生了重大变化的，可参考类似投资品种的现行市价及重大变化因素，调整最近交易市价，确定公允价值。</w:t>
      </w:r>
    </w:p>
    <w:p w14:paraId="56F389C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5、同一证券同时在两个或两个以上市场交易的，按其所处的市场分别估值。</w:t>
      </w:r>
    </w:p>
    <w:p w14:paraId="57F867B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6、本基金持有的回购以摊</w:t>
      </w:r>
      <w:proofErr w:type="gramStart"/>
      <w:r>
        <w:rPr>
          <w:rFonts w:ascii="宋体" w:hAnsi="宋体" w:hint="eastAsia"/>
          <w:bCs/>
          <w:sz w:val="24"/>
          <w:szCs w:val="24"/>
        </w:rPr>
        <w:t>余成本</w:t>
      </w:r>
      <w:proofErr w:type="gramEnd"/>
      <w:r>
        <w:rPr>
          <w:rFonts w:ascii="宋体" w:hAnsi="宋体" w:hint="eastAsia"/>
          <w:bCs/>
          <w:sz w:val="24"/>
          <w:szCs w:val="24"/>
        </w:rPr>
        <w:t>列示，按合同利率在回购期间内逐日计提应收或应付利息。</w:t>
      </w:r>
    </w:p>
    <w:p w14:paraId="6FB0811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7、本基金持有的银行存款和备付金余额以摊</w:t>
      </w:r>
      <w:proofErr w:type="gramStart"/>
      <w:r>
        <w:rPr>
          <w:rFonts w:ascii="宋体" w:hAnsi="宋体" w:hint="eastAsia"/>
          <w:bCs/>
          <w:sz w:val="24"/>
          <w:szCs w:val="24"/>
        </w:rPr>
        <w:t>余成本</w:t>
      </w:r>
      <w:proofErr w:type="gramEnd"/>
      <w:r>
        <w:rPr>
          <w:rFonts w:ascii="宋体" w:hAnsi="宋体" w:hint="eastAsia"/>
          <w:bCs/>
          <w:sz w:val="24"/>
          <w:szCs w:val="24"/>
        </w:rPr>
        <w:t>列示，按相应利率逐日计提利息。</w:t>
      </w:r>
    </w:p>
    <w:p w14:paraId="615561D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8、本基金投资股指期货合约，一般以估值当日结算价进行估值，估值当日无结算价，且最近交易日后经济环境未发生重大变化的，采用最近交易日结算价</w:t>
      </w:r>
      <w:r>
        <w:rPr>
          <w:rFonts w:ascii="宋体" w:hAnsi="宋体" w:hint="eastAsia"/>
          <w:bCs/>
          <w:sz w:val="24"/>
          <w:szCs w:val="24"/>
        </w:rPr>
        <w:lastRenderedPageBreak/>
        <w:t>估值。</w:t>
      </w:r>
    </w:p>
    <w:p w14:paraId="2397532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9、本基金投资股票期权合约，根据相关法律法规以及监管部门的规定估值。</w:t>
      </w:r>
    </w:p>
    <w:p w14:paraId="7F5D645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10、本基金投资国债期货合约，一般以估值当日结算价进行估值，估值当日无结算价，且最近交易日后经济环境未发生重大变化的，采用最近交易日结算价估值。</w:t>
      </w:r>
    </w:p>
    <w:p w14:paraId="3CDF5CC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11、本基金参与融资和转融通证券出借业务的，按照相关法律法规、监管部门和行业协会的相关规定进行估值。</w:t>
      </w:r>
    </w:p>
    <w:p w14:paraId="5FF661C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12、如有确凿证据表明按上述方法进行估值不能客观反映其公允价值的，基金管理人可根据具体情况与基金托管人商定后，按最能反映公允价值的价格估值。</w:t>
      </w:r>
    </w:p>
    <w:p w14:paraId="0A111CC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13、当本基金发生大额申购或赎回情形时，基金管理人可以采用摆动定价机制，以确保基金估值的公平性。</w:t>
      </w:r>
    </w:p>
    <w:p w14:paraId="4D8ACFB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14、相关法律法规以及监管部门有强制规定的，从其规定。如有新增事项，按国家最新规定估值。</w:t>
      </w:r>
    </w:p>
    <w:p w14:paraId="614EB6B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基金管理人或基金托管人发现基金估值违反基金合同订明的估值方法、程序及相关法律法规的规定或者未能充分维护基金份额持有人利益时，应立即通知对方，共同查明原因，双方协商解决，以约定的方法、程序和相关法律法规的规定进行估值，以维护基金份额持有人的利益。</w:t>
      </w:r>
    </w:p>
    <w:p w14:paraId="23C5005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根据有关法律法规，基金资产净值计算、各类基金份额净值计算和基金会计核算的义务由基金管理人承担。本基金的基金会计责任方由基金管理人担任，因此，就与本基金有关的会计问题，如经相关各方在平等基础上充分讨论后，仍无法达成一致意见的，按照基金管理人对基金净值信息的计算结果按规定对外予以公布。</w:t>
      </w:r>
    </w:p>
    <w:bookmarkEnd w:id="331"/>
    <w:bookmarkEnd w:id="332"/>
    <w:p w14:paraId="57AA223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、估值程序</w:t>
      </w:r>
    </w:p>
    <w:p w14:paraId="34EF0B9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各类基金份额净值是按照每个估值日闭市后，各类基金份额的基金资产净值分别除以当日该类基金份额的余额数量计算，均精确到0.0001元，小数点后第5位四舍五入。基金管理人可以设立大额赎回情形下的净值精度应急调整机制。国家另有规定的，从其规定。</w:t>
      </w:r>
    </w:p>
    <w:p w14:paraId="519D875C" w14:textId="77777777" w:rsidR="00166BB1" w:rsidRDefault="00166BB1">
      <w:pPr>
        <w:adjustRightInd w:val="0"/>
        <w:snapToGrid w:val="0"/>
        <w:spacing w:line="360" w:lineRule="auto"/>
        <w:ind w:firstLineChars="200" w:firstLine="480"/>
        <w:rPr>
          <w:rFonts w:ascii="宋体" w:hAnsi="宋体"/>
          <w:bCs/>
          <w:sz w:val="24"/>
          <w:szCs w:val="24"/>
        </w:rPr>
      </w:pPr>
      <w:r>
        <w:rPr>
          <w:rFonts w:ascii="黑体" w:hAnsi="黑体" w:hint="eastAsia"/>
          <w:bCs/>
          <w:sz w:val="24"/>
          <w:szCs w:val="24"/>
        </w:rPr>
        <w:t>基金管理人于每个估值日计算基金资产净值及各类基金份额净值，经基金托管人复核，并按规定公告。如遇特殊情况，经履行适当程序，可以适当延迟计算或公告</w:t>
      </w:r>
      <w:r>
        <w:rPr>
          <w:rFonts w:ascii="宋体" w:hAnsi="宋体" w:hint="eastAsia"/>
          <w:bCs/>
          <w:sz w:val="24"/>
          <w:szCs w:val="24"/>
        </w:rPr>
        <w:t>。</w:t>
      </w:r>
    </w:p>
    <w:p w14:paraId="235EC1E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2、</w:t>
      </w:r>
      <w:r>
        <w:rPr>
          <w:rFonts w:ascii="黑体" w:hAnsi="黑体" w:hint="eastAsia"/>
          <w:bCs/>
          <w:sz w:val="24"/>
          <w:szCs w:val="24"/>
        </w:rPr>
        <w:t>基金管理人</w:t>
      </w:r>
      <w:proofErr w:type="gramStart"/>
      <w:r>
        <w:rPr>
          <w:rFonts w:ascii="黑体" w:hAnsi="黑体" w:hint="eastAsia"/>
          <w:bCs/>
          <w:sz w:val="24"/>
          <w:szCs w:val="24"/>
        </w:rPr>
        <w:t>应每个</w:t>
      </w:r>
      <w:proofErr w:type="gramEnd"/>
      <w:r>
        <w:rPr>
          <w:rFonts w:ascii="黑体" w:hAnsi="黑体" w:hint="eastAsia"/>
          <w:bCs/>
          <w:sz w:val="24"/>
          <w:szCs w:val="24"/>
        </w:rPr>
        <w:t>估值日对基金资产估值。但基金管理人根据法律法规或本基金合同的规定暂停估值时除外。基金管理人每个估值日对基金资产估值后，将各</w:t>
      </w:r>
      <w:r>
        <w:rPr>
          <w:rFonts w:ascii="宋体" w:hAnsi="宋体" w:hint="eastAsia"/>
          <w:bCs/>
          <w:sz w:val="24"/>
          <w:szCs w:val="24"/>
        </w:rPr>
        <w:t>类</w:t>
      </w:r>
      <w:r>
        <w:rPr>
          <w:rFonts w:ascii="黑体" w:hAnsi="黑体" w:hint="eastAsia"/>
          <w:bCs/>
          <w:sz w:val="24"/>
          <w:szCs w:val="24"/>
        </w:rPr>
        <w:t>基金份额净值结果发送基金托管人，经基金托管人复核无误后，由基金管理人按约定对外公布</w:t>
      </w:r>
      <w:r>
        <w:rPr>
          <w:rFonts w:ascii="宋体" w:hAnsi="宋体" w:hint="eastAsia"/>
          <w:bCs/>
          <w:sz w:val="24"/>
          <w:szCs w:val="24"/>
        </w:rPr>
        <w:t>。</w:t>
      </w:r>
    </w:p>
    <w:p w14:paraId="05413022" w14:textId="77777777" w:rsidR="00166BB1" w:rsidRDefault="00166BB1">
      <w:pPr>
        <w:tabs>
          <w:tab w:val="left" w:pos="5130"/>
        </w:tabs>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w:t>
      </w:r>
      <w:r>
        <w:rPr>
          <w:rFonts w:ascii="宋体" w:hAnsi="宋体"/>
          <w:bCs/>
          <w:sz w:val="24"/>
          <w:szCs w:val="24"/>
        </w:rPr>
        <w:t>、估值错误的处理</w:t>
      </w:r>
    </w:p>
    <w:p w14:paraId="30E035D6" w14:textId="77777777" w:rsidR="00166BB1" w:rsidRDefault="00166BB1">
      <w:pPr>
        <w:adjustRightInd w:val="0"/>
        <w:snapToGrid w:val="0"/>
        <w:spacing w:line="360" w:lineRule="auto"/>
        <w:ind w:firstLineChars="200" w:firstLine="480"/>
        <w:rPr>
          <w:rFonts w:ascii="黑体" w:hAnsi="黑体"/>
          <w:bCs/>
          <w:sz w:val="24"/>
          <w:szCs w:val="24"/>
        </w:rPr>
      </w:pPr>
      <w:r>
        <w:rPr>
          <w:rFonts w:ascii="黑体" w:hAnsi="黑体"/>
          <w:bCs/>
          <w:sz w:val="24"/>
          <w:szCs w:val="24"/>
        </w:rPr>
        <w:t>基金管理人和基金托管人将采取必要、适当、合理的措施确保基金资产估值的准确性、及时性。当</w:t>
      </w:r>
      <w:r>
        <w:rPr>
          <w:rFonts w:ascii="黑体" w:hAnsi="黑体" w:hint="eastAsia"/>
          <w:bCs/>
          <w:sz w:val="24"/>
          <w:szCs w:val="24"/>
        </w:rPr>
        <w:t>任一类</w:t>
      </w:r>
      <w:r>
        <w:rPr>
          <w:rFonts w:ascii="黑体" w:hAnsi="黑体"/>
          <w:bCs/>
          <w:sz w:val="24"/>
          <w:szCs w:val="24"/>
        </w:rPr>
        <w:t>基金份额净</w:t>
      </w:r>
      <w:r>
        <w:rPr>
          <w:rFonts w:ascii="宋体" w:hAnsi="宋体"/>
          <w:bCs/>
          <w:sz w:val="24"/>
          <w:szCs w:val="24"/>
        </w:rPr>
        <w:t>值小数点后</w:t>
      </w:r>
      <w:r>
        <w:rPr>
          <w:rFonts w:ascii="宋体" w:hAnsi="宋体" w:hint="eastAsia"/>
          <w:bCs/>
          <w:sz w:val="24"/>
          <w:szCs w:val="24"/>
        </w:rPr>
        <w:t>4</w:t>
      </w:r>
      <w:r>
        <w:rPr>
          <w:rFonts w:ascii="宋体" w:hAnsi="宋体"/>
          <w:bCs/>
          <w:sz w:val="24"/>
          <w:szCs w:val="24"/>
        </w:rPr>
        <w:t>位以内</w:t>
      </w:r>
      <w:r>
        <w:rPr>
          <w:rFonts w:ascii="宋体" w:hAnsi="宋体" w:hint="eastAsia"/>
          <w:bCs/>
          <w:sz w:val="24"/>
          <w:szCs w:val="24"/>
        </w:rPr>
        <w:t>（</w:t>
      </w:r>
      <w:r>
        <w:rPr>
          <w:rFonts w:ascii="宋体" w:hAnsi="宋体"/>
          <w:bCs/>
          <w:sz w:val="24"/>
          <w:szCs w:val="24"/>
        </w:rPr>
        <w:t>含第</w:t>
      </w:r>
      <w:r>
        <w:rPr>
          <w:rFonts w:ascii="宋体" w:hAnsi="宋体" w:hint="eastAsia"/>
          <w:bCs/>
          <w:sz w:val="24"/>
          <w:szCs w:val="24"/>
        </w:rPr>
        <w:t>4</w:t>
      </w:r>
      <w:r>
        <w:rPr>
          <w:rFonts w:ascii="宋体" w:hAnsi="宋体"/>
          <w:bCs/>
          <w:sz w:val="24"/>
          <w:szCs w:val="24"/>
        </w:rPr>
        <w:t>位</w:t>
      </w:r>
      <w:r>
        <w:rPr>
          <w:rFonts w:ascii="宋体" w:hAnsi="宋体" w:hint="eastAsia"/>
          <w:bCs/>
          <w:sz w:val="24"/>
          <w:szCs w:val="24"/>
        </w:rPr>
        <w:t>）</w:t>
      </w:r>
      <w:r>
        <w:rPr>
          <w:rFonts w:ascii="宋体" w:hAnsi="宋体"/>
          <w:bCs/>
          <w:sz w:val="24"/>
          <w:szCs w:val="24"/>
        </w:rPr>
        <w:t>发生估值错误时，视为</w:t>
      </w:r>
      <w:r>
        <w:rPr>
          <w:rFonts w:ascii="宋体" w:hAnsi="宋体" w:hint="eastAsia"/>
          <w:bCs/>
          <w:sz w:val="24"/>
          <w:szCs w:val="24"/>
        </w:rPr>
        <w:t>该类</w:t>
      </w:r>
      <w:r>
        <w:rPr>
          <w:rFonts w:ascii="宋体" w:hAnsi="宋体"/>
          <w:bCs/>
          <w:sz w:val="24"/>
          <w:szCs w:val="24"/>
        </w:rPr>
        <w:t>基金份额净值错误。</w:t>
      </w:r>
    </w:p>
    <w:p w14:paraId="247E1009" w14:textId="77777777" w:rsidR="00166BB1" w:rsidRDefault="00166BB1">
      <w:pPr>
        <w:adjustRightInd w:val="0"/>
        <w:snapToGrid w:val="0"/>
        <w:spacing w:line="360" w:lineRule="auto"/>
        <w:ind w:firstLineChars="200" w:firstLine="480"/>
        <w:rPr>
          <w:rFonts w:ascii="黑体" w:hAnsi="黑体"/>
          <w:bCs/>
          <w:sz w:val="24"/>
          <w:szCs w:val="24"/>
        </w:rPr>
      </w:pPr>
      <w:r>
        <w:rPr>
          <w:rFonts w:ascii="黑体" w:hAnsi="黑体" w:hint="eastAsia"/>
          <w:bCs/>
          <w:sz w:val="24"/>
          <w:szCs w:val="24"/>
        </w:rPr>
        <w:t>由于一方当事人提供的信息错误，另一方当事人在采取了必要合理的措施后仍不能发现该错误，进而导致基金资产净值、</w:t>
      </w:r>
      <w:r>
        <w:rPr>
          <w:rFonts w:ascii="宋体" w:hAnsi="宋体" w:hint="eastAsia"/>
          <w:bCs/>
          <w:sz w:val="24"/>
          <w:szCs w:val="24"/>
        </w:rPr>
        <w:t>各类基金份额净值</w:t>
      </w:r>
      <w:r>
        <w:rPr>
          <w:rFonts w:ascii="黑体" w:hAnsi="黑体" w:hint="eastAsia"/>
          <w:bCs/>
          <w:sz w:val="24"/>
          <w:szCs w:val="24"/>
        </w:rPr>
        <w:t>计算错误造成投资人或基金的损失，以及由此造成以后交易日基金资产净值、</w:t>
      </w:r>
      <w:r>
        <w:rPr>
          <w:rFonts w:ascii="宋体" w:hAnsi="宋体" w:hint="eastAsia"/>
          <w:bCs/>
          <w:sz w:val="24"/>
          <w:szCs w:val="24"/>
        </w:rPr>
        <w:t>各类基金份额净值</w:t>
      </w:r>
      <w:r>
        <w:rPr>
          <w:rFonts w:ascii="黑体" w:hAnsi="黑体" w:hint="eastAsia"/>
          <w:bCs/>
          <w:sz w:val="24"/>
          <w:szCs w:val="24"/>
        </w:rPr>
        <w:t>计算顺延错误而引起的投资人或基金的损失，由提供错误信息的当事人一方负责赔偿。</w:t>
      </w:r>
    </w:p>
    <w:p w14:paraId="1339F31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本基金合同的当事人应按照以下约定处理：</w:t>
      </w:r>
    </w:p>
    <w:p w14:paraId="312EF68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1、估值错误类型</w:t>
      </w:r>
    </w:p>
    <w:p w14:paraId="71B4254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本基金运作过程中，如果由于基金管理人或基金托管人、或登记机构、或销售机构、或投资人自身的过错造成估值错误，导致其他当事人遭受损失的，过错的责任人应当对由于该估值错误遭受损失当事人</w:t>
      </w:r>
      <w:r>
        <w:rPr>
          <w:rFonts w:ascii="宋体" w:hAnsi="宋体" w:hint="eastAsia"/>
          <w:bCs/>
          <w:sz w:val="24"/>
          <w:szCs w:val="24"/>
        </w:rPr>
        <w:t>（“</w:t>
      </w:r>
      <w:r>
        <w:rPr>
          <w:rFonts w:ascii="宋体" w:hAnsi="宋体"/>
          <w:bCs/>
          <w:sz w:val="24"/>
          <w:szCs w:val="24"/>
        </w:rPr>
        <w:t>受损方</w:t>
      </w:r>
      <w:r>
        <w:rPr>
          <w:rFonts w:ascii="宋体" w:hAnsi="宋体" w:hint="eastAsia"/>
          <w:bCs/>
          <w:sz w:val="24"/>
          <w:szCs w:val="24"/>
        </w:rPr>
        <w:t>”）</w:t>
      </w:r>
      <w:r>
        <w:rPr>
          <w:rFonts w:ascii="宋体" w:hAnsi="宋体"/>
          <w:bCs/>
          <w:sz w:val="24"/>
          <w:szCs w:val="24"/>
        </w:rPr>
        <w:t>的直接损失按下述“估值错误处理原则”给予赔偿，承担赔偿责任。</w:t>
      </w:r>
    </w:p>
    <w:p w14:paraId="27061FC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上述估值错误的主要类型包括但不限于：资料申报差错、数据传输差错、数据计算差错、系统故障差错、下达指令差错等。</w:t>
      </w:r>
    </w:p>
    <w:p w14:paraId="30FD13B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2、估值错误处理原则</w:t>
      </w:r>
    </w:p>
    <w:p w14:paraId="77EB37B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15C448B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）估值错误的责任方对有关当事人的直接损失负责，不对间接损失负责，</w:t>
      </w:r>
      <w:r>
        <w:rPr>
          <w:rFonts w:ascii="宋体" w:hAnsi="宋体"/>
          <w:bCs/>
          <w:sz w:val="24"/>
          <w:szCs w:val="24"/>
        </w:rPr>
        <w:lastRenderedPageBreak/>
        <w:t>并且仅对估值错误的有关直接当事人负责，不对第三方负责。</w:t>
      </w:r>
    </w:p>
    <w:p w14:paraId="262625A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）因估值错误而获得不当得利的当事人负有及时返还不当得利的义务。但估值错误责任方仍应对估值错误负责。如果由于获得不当得利的当事人</w:t>
      </w:r>
      <w:proofErr w:type="gramStart"/>
      <w:r>
        <w:rPr>
          <w:rFonts w:ascii="宋体" w:hAnsi="宋体"/>
          <w:bCs/>
          <w:sz w:val="24"/>
          <w:szCs w:val="24"/>
        </w:rPr>
        <w:t>不</w:t>
      </w:r>
      <w:proofErr w:type="gramEnd"/>
      <w:r>
        <w:rPr>
          <w:rFonts w:ascii="宋体" w:hAnsi="宋体"/>
          <w:bCs/>
          <w:sz w:val="24"/>
          <w:szCs w:val="24"/>
        </w:rPr>
        <w:t>返还或不全部返还不当得利造成其他当事人的利益损失</w:t>
      </w:r>
      <w:r>
        <w:rPr>
          <w:rFonts w:ascii="宋体" w:hAnsi="宋体" w:hint="eastAsia"/>
          <w:bCs/>
          <w:sz w:val="24"/>
          <w:szCs w:val="24"/>
        </w:rPr>
        <w:t>（“</w:t>
      </w:r>
      <w:r>
        <w:rPr>
          <w:rFonts w:ascii="宋体" w:hAnsi="宋体"/>
          <w:bCs/>
          <w:sz w:val="24"/>
          <w:szCs w:val="24"/>
        </w:rPr>
        <w:t>受损方</w:t>
      </w:r>
      <w:r>
        <w:rPr>
          <w:rFonts w:ascii="宋体" w:hAnsi="宋体" w:hint="eastAsia"/>
          <w:bCs/>
          <w:sz w:val="24"/>
          <w:szCs w:val="24"/>
        </w:rPr>
        <w:t>”）</w:t>
      </w:r>
      <w:r>
        <w:rPr>
          <w:rFonts w:ascii="宋体" w:hAnsi="宋体"/>
          <w:bCs/>
          <w:sz w:val="24"/>
          <w:szCs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207ECEE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4</w:t>
      </w:r>
      <w:r>
        <w:rPr>
          <w:rFonts w:ascii="宋体" w:hAnsi="宋体"/>
          <w:bCs/>
          <w:sz w:val="24"/>
          <w:szCs w:val="24"/>
        </w:rPr>
        <w:t>）估值错误调整采用尽量恢复至假设未发生估值错误的正确情形的方式。</w:t>
      </w:r>
    </w:p>
    <w:p w14:paraId="3BD47B5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3、估值错误处理程序</w:t>
      </w:r>
    </w:p>
    <w:p w14:paraId="618B8E8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估值错误被发现后，有关的当事人应当及时进行处理，处理的程序如下：</w:t>
      </w:r>
    </w:p>
    <w:p w14:paraId="41E751B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（1）查明估值错误发生的原因，列明所有的当事人，并根据估值错误发生的原因确定估值错误的责任方；</w:t>
      </w:r>
    </w:p>
    <w:p w14:paraId="6236CBA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）根据估值错误处理原则或当事人协商的方法对因估值错误造成的损失进行评估；</w:t>
      </w:r>
    </w:p>
    <w:p w14:paraId="6B30586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3</w:t>
      </w:r>
      <w:r>
        <w:rPr>
          <w:rFonts w:ascii="宋体" w:hAnsi="宋体"/>
          <w:bCs/>
          <w:sz w:val="24"/>
          <w:szCs w:val="24"/>
        </w:rPr>
        <w:t>）根据估值错误处理原则或当事人协商的方法由估值错误的责任方进行更正和赔偿损失；</w:t>
      </w:r>
    </w:p>
    <w:p w14:paraId="38BD50B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4</w:t>
      </w:r>
      <w:r>
        <w:rPr>
          <w:rFonts w:ascii="宋体" w:hAnsi="宋体"/>
          <w:bCs/>
          <w:sz w:val="24"/>
          <w:szCs w:val="24"/>
        </w:rPr>
        <w:t>）根据估值错误处理的方法，需要修改基金登记机构交易数据的，由基金登记机构进行更正，并就估值错误的更正向有关当事人进行确认。</w:t>
      </w:r>
    </w:p>
    <w:p w14:paraId="51CE9E4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4、基金份额净值估值错误处理的方法如下：</w:t>
      </w:r>
    </w:p>
    <w:p w14:paraId="7E99DD4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（1）基金份额净值计算出现错误时，基金管理人应当立即予以纠正，通报基金托管人，并采取合理的措施防止损失进一步扩大。</w:t>
      </w:r>
    </w:p>
    <w:p w14:paraId="6FCBF44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w:t>
      </w:r>
      <w:r>
        <w:rPr>
          <w:rFonts w:ascii="宋体" w:hAnsi="宋体"/>
          <w:bCs/>
          <w:sz w:val="24"/>
          <w:szCs w:val="24"/>
        </w:rPr>
        <w:t>）</w:t>
      </w:r>
      <w:r>
        <w:rPr>
          <w:rFonts w:ascii="黑体" w:hAnsi="黑体"/>
          <w:bCs/>
          <w:sz w:val="24"/>
          <w:szCs w:val="24"/>
        </w:rPr>
        <w:t>错误偏差达到</w:t>
      </w:r>
      <w:r>
        <w:rPr>
          <w:rFonts w:ascii="宋体" w:hAnsi="宋体" w:hint="eastAsia"/>
          <w:bCs/>
          <w:sz w:val="24"/>
          <w:szCs w:val="24"/>
        </w:rPr>
        <w:t>该类</w:t>
      </w:r>
      <w:r>
        <w:rPr>
          <w:rFonts w:ascii="黑体" w:hAnsi="黑体"/>
          <w:bCs/>
          <w:sz w:val="24"/>
          <w:szCs w:val="24"/>
        </w:rPr>
        <w:t>基金份额净值</w:t>
      </w:r>
      <w:r>
        <w:rPr>
          <w:rFonts w:ascii="宋体" w:hAnsi="宋体"/>
          <w:bCs/>
          <w:sz w:val="24"/>
          <w:szCs w:val="24"/>
        </w:rPr>
        <w:t>的0.25%</w:t>
      </w:r>
      <w:r>
        <w:rPr>
          <w:rFonts w:ascii="黑体" w:hAnsi="黑体"/>
          <w:bCs/>
          <w:sz w:val="24"/>
          <w:szCs w:val="24"/>
        </w:rPr>
        <w:t>时，基金</w:t>
      </w:r>
      <w:r>
        <w:rPr>
          <w:rFonts w:ascii="宋体" w:hAnsi="宋体"/>
          <w:bCs/>
          <w:sz w:val="24"/>
          <w:szCs w:val="24"/>
        </w:rPr>
        <w:t>管理人应当通报基金托管人并报中国证监会备案；错误偏差达到</w:t>
      </w:r>
      <w:r>
        <w:rPr>
          <w:rFonts w:ascii="宋体" w:hAnsi="宋体" w:hint="eastAsia"/>
          <w:bCs/>
          <w:sz w:val="24"/>
          <w:szCs w:val="24"/>
        </w:rPr>
        <w:t>该类</w:t>
      </w:r>
      <w:r>
        <w:rPr>
          <w:rFonts w:ascii="宋体" w:hAnsi="宋体"/>
          <w:bCs/>
          <w:sz w:val="24"/>
          <w:szCs w:val="24"/>
        </w:rPr>
        <w:t>基金份额净值的0.5%时</w:t>
      </w:r>
      <w:r>
        <w:rPr>
          <w:rFonts w:ascii="黑体" w:hAnsi="黑体"/>
          <w:bCs/>
          <w:sz w:val="24"/>
          <w:szCs w:val="24"/>
        </w:rPr>
        <w:t>，基金管理人应当公告</w:t>
      </w:r>
      <w:r>
        <w:rPr>
          <w:rFonts w:ascii="黑体" w:hAnsi="黑体" w:hint="eastAsia"/>
          <w:bCs/>
          <w:sz w:val="24"/>
          <w:szCs w:val="24"/>
        </w:rPr>
        <w:t>，并报中国证监会备案</w:t>
      </w:r>
      <w:r>
        <w:rPr>
          <w:rFonts w:ascii="宋体" w:hAnsi="宋体" w:hint="eastAsia"/>
          <w:bCs/>
          <w:sz w:val="24"/>
          <w:szCs w:val="24"/>
        </w:rPr>
        <w:t>。</w:t>
      </w:r>
    </w:p>
    <w:p w14:paraId="7E67BDE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w:t>
      </w:r>
      <w:r>
        <w:rPr>
          <w:rFonts w:ascii="宋体" w:hAnsi="宋体"/>
          <w:bCs/>
          <w:sz w:val="24"/>
          <w:szCs w:val="24"/>
        </w:rPr>
        <w:t>前述内容如法律法规或监管机</w:t>
      </w:r>
      <w:r>
        <w:rPr>
          <w:rFonts w:ascii="宋体" w:hAnsi="宋体" w:hint="eastAsia"/>
          <w:bCs/>
          <w:sz w:val="24"/>
          <w:szCs w:val="24"/>
        </w:rPr>
        <w:t>关</w:t>
      </w:r>
      <w:r>
        <w:rPr>
          <w:rFonts w:ascii="宋体" w:hAnsi="宋体"/>
          <w:bCs/>
          <w:sz w:val="24"/>
          <w:szCs w:val="24"/>
        </w:rPr>
        <w:t>另有规定的，从其规定处理。</w:t>
      </w:r>
      <w:r>
        <w:rPr>
          <w:rFonts w:ascii="宋体" w:hAnsi="宋体" w:hint="eastAsia"/>
          <w:bCs/>
          <w:sz w:val="24"/>
          <w:szCs w:val="24"/>
        </w:rPr>
        <w:t>如果行业另有通行做法，基金管理人和基金托管人应本着平等和保护基金份额持有人利益的原则进行协商。</w:t>
      </w:r>
    </w:p>
    <w:p w14:paraId="6CEE47D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基金托管人发现基金份额净值估值出现重大错误或者估值出现重大偏离的，应当提示基金管理人依法履行披露和报告义务。</w:t>
      </w:r>
    </w:p>
    <w:p w14:paraId="0C4646F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七</w:t>
      </w:r>
      <w:r>
        <w:rPr>
          <w:rFonts w:ascii="宋体" w:hAnsi="宋体"/>
          <w:bCs/>
          <w:sz w:val="24"/>
          <w:szCs w:val="24"/>
        </w:rPr>
        <w:t>、暂停估值的情形</w:t>
      </w:r>
    </w:p>
    <w:p w14:paraId="7F1C449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1、基金投资所涉及的证券</w:t>
      </w:r>
      <w:r>
        <w:rPr>
          <w:rFonts w:ascii="宋体" w:hAnsi="宋体" w:hint="eastAsia"/>
          <w:bCs/>
          <w:sz w:val="24"/>
          <w:szCs w:val="24"/>
        </w:rPr>
        <w:t>/</w:t>
      </w:r>
      <w:r>
        <w:rPr>
          <w:rFonts w:ascii="宋体" w:hAnsi="宋体"/>
          <w:bCs/>
          <w:sz w:val="24"/>
          <w:szCs w:val="24"/>
        </w:rPr>
        <w:t>期货交易市场遇法定节假日或因其他原因暂停营业时；</w:t>
      </w:r>
    </w:p>
    <w:p w14:paraId="7A7F77A4" w14:textId="77777777" w:rsidR="00166BB1" w:rsidRDefault="00166BB1">
      <w:pPr>
        <w:snapToGrid w:val="0"/>
        <w:spacing w:line="360" w:lineRule="auto"/>
        <w:ind w:firstLine="480"/>
        <w:rPr>
          <w:rFonts w:ascii="宋体" w:hAnsi="宋体"/>
          <w:bCs/>
          <w:sz w:val="24"/>
          <w:szCs w:val="24"/>
        </w:rPr>
      </w:pPr>
      <w:bookmarkStart w:id="333" w:name="_Hlk191807613"/>
      <w:r>
        <w:rPr>
          <w:rFonts w:ascii="黑体" w:hAnsi="黑体" w:hint="eastAsia"/>
          <w:bCs/>
          <w:sz w:val="24"/>
          <w:szCs w:val="24"/>
        </w:rPr>
        <w:t>2</w:t>
      </w:r>
      <w:r>
        <w:rPr>
          <w:rFonts w:ascii="黑体" w:hAnsi="黑体" w:hint="eastAsia"/>
          <w:bCs/>
          <w:sz w:val="24"/>
          <w:szCs w:val="24"/>
        </w:rPr>
        <w:t>、基金所投资之目标</w:t>
      </w:r>
      <w:r>
        <w:rPr>
          <w:rFonts w:ascii="宋体" w:hAnsi="宋体"/>
          <w:bCs/>
          <w:sz w:val="24"/>
          <w:szCs w:val="24"/>
        </w:rPr>
        <w:t>ETF</w:t>
      </w:r>
      <w:r>
        <w:rPr>
          <w:rFonts w:ascii="黑体" w:hAnsi="黑体" w:hint="eastAsia"/>
          <w:bCs/>
          <w:sz w:val="24"/>
          <w:szCs w:val="24"/>
        </w:rPr>
        <w:t>发生暂停估值、暂停公告基金份额净值的情形；</w:t>
      </w:r>
      <w:bookmarkEnd w:id="333"/>
    </w:p>
    <w:p w14:paraId="071DD04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w:t>
      </w:r>
      <w:r>
        <w:rPr>
          <w:rFonts w:ascii="宋体" w:hAnsi="宋体"/>
          <w:bCs/>
          <w:sz w:val="24"/>
          <w:szCs w:val="24"/>
        </w:rPr>
        <w:t>、因不可抗力</w:t>
      </w:r>
      <w:r>
        <w:rPr>
          <w:rFonts w:ascii="宋体" w:hAnsi="宋体" w:hint="eastAsia"/>
          <w:bCs/>
          <w:sz w:val="24"/>
          <w:szCs w:val="24"/>
        </w:rPr>
        <w:t>或其他情形</w:t>
      </w:r>
      <w:r>
        <w:rPr>
          <w:rFonts w:ascii="宋体" w:hAnsi="宋体"/>
          <w:bCs/>
          <w:sz w:val="24"/>
          <w:szCs w:val="24"/>
        </w:rPr>
        <w:t>致使基金管理人、基金托管人无法准确评估基金资产价值时；</w:t>
      </w:r>
    </w:p>
    <w:p w14:paraId="1DCC1DD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4、当特定资产占前一估值日基金资产净值50%以上的，经与基金托管人协商确认后，基金管理人应当暂停估值；</w:t>
      </w:r>
    </w:p>
    <w:p w14:paraId="3AA0B59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5、法律法规、</w:t>
      </w:r>
      <w:r>
        <w:rPr>
          <w:rFonts w:ascii="宋体" w:hAnsi="宋体"/>
          <w:bCs/>
          <w:sz w:val="24"/>
          <w:szCs w:val="24"/>
        </w:rPr>
        <w:t>中国证监会和基金合同认定的其它情形。</w:t>
      </w:r>
    </w:p>
    <w:p w14:paraId="4263337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w:t>
      </w:r>
      <w:r>
        <w:rPr>
          <w:rFonts w:ascii="宋体" w:hAnsi="宋体"/>
          <w:bCs/>
          <w:sz w:val="24"/>
          <w:szCs w:val="24"/>
        </w:rPr>
        <w:t>、基金</w:t>
      </w:r>
      <w:r>
        <w:rPr>
          <w:rFonts w:ascii="宋体" w:hAnsi="宋体" w:hint="eastAsia"/>
          <w:bCs/>
          <w:sz w:val="24"/>
          <w:szCs w:val="24"/>
        </w:rPr>
        <w:t>资产净值、基金份额</w:t>
      </w:r>
      <w:r>
        <w:rPr>
          <w:rFonts w:ascii="宋体" w:hAnsi="宋体"/>
          <w:bCs/>
          <w:sz w:val="24"/>
          <w:szCs w:val="24"/>
        </w:rPr>
        <w:t>净值的确认</w:t>
      </w:r>
    </w:p>
    <w:p w14:paraId="72B9BB8F" w14:textId="77777777" w:rsidR="00166BB1" w:rsidRDefault="00166BB1">
      <w:pPr>
        <w:adjustRightInd w:val="0"/>
        <w:snapToGrid w:val="0"/>
        <w:spacing w:line="360" w:lineRule="auto"/>
        <w:ind w:firstLineChars="200" w:firstLine="480"/>
        <w:rPr>
          <w:rFonts w:ascii="宋体" w:hAnsi="宋体"/>
          <w:bCs/>
          <w:sz w:val="24"/>
          <w:szCs w:val="24"/>
        </w:rPr>
      </w:pPr>
      <w:r>
        <w:rPr>
          <w:rFonts w:ascii="黑体" w:hAnsi="黑体" w:hint="eastAsia"/>
          <w:bCs/>
          <w:sz w:val="24"/>
          <w:szCs w:val="24"/>
        </w:rPr>
        <w:t>基金资产净值和各类基金份额净值由基金管理人负责计算，基金托管人负责进行复核。基金管理人应于每个估值日交易结束后计算当日的基金资产净值和各类基金份额净值并发送给基金托管人。基金托管人对净值计算结果复核确认后发送给基金管理人，由基金管理人按规定对各类基金份额净值予以公布</w:t>
      </w:r>
      <w:r>
        <w:rPr>
          <w:rFonts w:ascii="宋体" w:hAnsi="宋体" w:hint="eastAsia"/>
          <w:bCs/>
          <w:sz w:val="24"/>
          <w:szCs w:val="24"/>
        </w:rPr>
        <w:t>。</w:t>
      </w:r>
    </w:p>
    <w:p w14:paraId="5A5D55A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九、特殊情况的处理</w:t>
      </w:r>
    </w:p>
    <w:p w14:paraId="49ABFFD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1、基金管理人或基金托管人按估值方法的第12项进行估值时，所造成的误差不作为基金资产估值错误处理；</w:t>
      </w:r>
    </w:p>
    <w:p w14:paraId="6682FE4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2、由于不可抗力原因，或由于证券/期货交易所、登记结算公司、证券/期货经纪机构、指数编制机构、存款银行、第三方估值基准服务机构等第三方机构发送的数据错误、遗漏，有关会计制度变化等</w:t>
      </w:r>
      <w:proofErr w:type="gramStart"/>
      <w:r>
        <w:rPr>
          <w:rFonts w:ascii="宋体" w:hAnsi="宋体" w:hint="eastAsia"/>
          <w:bCs/>
          <w:sz w:val="24"/>
          <w:szCs w:val="24"/>
        </w:rPr>
        <w:t>非基金</w:t>
      </w:r>
      <w:proofErr w:type="gramEnd"/>
      <w:r>
        <w:rPr>
          <w:rFonts w:ascii="宋体" w:hAnsi="宋体" w:hint="eastAsia"/>
          <w:bCs/>
          <w:sz w:val="24"/>
          <w:szCs w:val="24"/>
        </w:rPr>
        <w:t>管理人与基金托管人原因，基金管理人和基金托管人虽然已经采取必要、适当、合理的措施进行检查，但未能发现该错误、遗漏</w:t>
      </w:r>
      <w:r w:rsidRPr="00AD2C2A">
        <w:rPr>
          <w:rFonts w:ascii="宋体" w:hAnsi="宋体" w:hint="eastAsia"/>
          <w:bCs/>
          <w:sz w:val="24"/>
          <w:szCs w:val="24"/>
        </w:rPr>
        <w:t>或即使发现错误但因前述原因未能避免或更正</w:t>
      </w:r>
      <w:r>
        <w:rPr>
          <w:rFonts w:ascii="宋体" w:hAnsi="宋体" w:hint="eastAsia"/>
          <w:bCs/>
          <w:sz w:val="24"/>
          <w:szCs w:val="24"/>
        </w:rPr>
        <w:t>的，由此造成的基金资产估值错误，基金管理人和基金托管人免除赔偿责任。但基金管理人、基金托管人应当积极采取必要的措施消除</w:t>
      </w:r>
      <w:r>
        <w:rPr>
          <w:rFonts w:ascii="宋体" w:hAnsi="宋体"/>
          <w:bCs/>
          <w:sz w:val="24"/>
          <w:szCs w:val="24"/>
        </w:rPr>
        <w:t>或</w:t>
      </w:r>
      <w:r>
        <w:rPr>
          <w:rFonts w:ascii="宋体" w:hAnsi="宋体" w:hint="eastAsia"/>
          <w:bCs/>
          <w:sz w:val="24"/>
          <w:szCs w:val="24"/>
        </w:rPr>
        <w:t>减轻由此造成的影响。</w:t>
      </w:r>
    </w:p>
    <w:p w14:paraId="4A629AF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十、实施</w:t>
      </w:r>
      <w:proofErr w:type="gramStart"/>
      <w:r>
        <w:rPr>
          <w:rFonts w:ascii="宋体" w:hAnsi="宋体" w:hint="eastAsia"/>
          <w:bCs/>
          <w:sz w:val="24"/>
          <w:szCs w:val="24"/>
        </w:rPr>
        <w:t>侧袋机制</w:t>
      </w:r>
      <w:proofErr w:type="gramEnd"/>
      <w:r>
        <w:rPr>
          <w:rFonts w:ascii="宋体" w:hAnsi="宋体" w:hint="eastAsia"/>
          <w:bCs/>
          <w:sz w:val="24"/>
          <w:szCs w:val="24"/>
        </w:rPr>
        <w:t>期间的基金资产估值</w:t>
      </w:r>
    </w:p>
    <w:p w14:paraId="43E03BD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的，应根据本部分的约定</w:t>
      </w:r>
      <w:proofErr w:type="gramStart"/>
      <w:r>
        <w:rPr>
          <w:rFonts w:ascii="宋体" w:hAnsi="宋体" w:hint="eastAsia"/>
          <w:bCs/>
          <w:sz w:val="24"/>
          <w:szCs w:val="24"/>
        </w:rPr>
        <w:t>对主袋账户</w:t>
      </w:r>
      <w:proofErr w:type="gramEnd"/>
      <w:r>
        <w:rPr>
          <w:rFonts w:ascii="宋体" w:hAnsi="宋体" w:hint="eastAsia"/>
          <w:bCs/>
          <w:sz w:val="24"/>
          <w:szCs w:val="24"/>
        </w:rPr>
        <w:t>资产进行估值并</w:t>
      </w:r>
      <w:proofErr w:type="gramStart"/>
      <w:r>
        <w:rPr>
          <w:rFonts w:ascii="宋体" w:hAnsi="宋体" w:hint="eastAsia"/>
          <w:bCs/>
          <w:sz w:val="24"/>
          <w:szCs w:val="24"/>
        </w:rPr>
        <w:t>披露主袋账户</w:t>
      </w:r>
      <w:proofErr w:type="gramEnd"/>
      <w:r>
        <w:rPr>
          <w:rFonts w:ascii="宋体" w:hAnsi="宋体" w:hint="eastAsia"/>
          <w:bCs/>
          <w:sz w:val="24"/>
          <w:szCs w:val="24"/>
        </w:rPr>
        <w:t>的基金净值信息，暂停</w:t>
      </w:r>
      <w:proofErr w:type="gramStart"/>
      <w:r>
        <w:rPr>
          <w:rFonts w:ascii="宋体" w:hAnsi="宋体" w:hint="eastAsia"/>
          <w:bCs/>
          <w:sz w:val="24"/>
          <w:szCs w:val="24"/>
        </w:rPr>
        <w:t>披露侧袋账户</w:t>
      </w:r>
      <w:proofErr w:type="gramEnd"/>
      <w:r>
        <w:rPr>
          <w:rFonts w:ascii="宋体" w:hAnsi="宋体" w:hint="eastAsia"/>
          <w:bCs/>
          <w:sz w:val="24"/>
          <w:szCs w:val="24"/>
        </w:rPr>
        <w:t>份额净值。</w:t>
      </w:r>
    </w:p>
    <w:p w14:paraId="0C648AD7" w14:textId="77777777" w:rsidR="00166BB1" w:rsidRDefault="00166BB1">
      <w:pPr>
        <w:pStyle w:val="1"/>
        <w:spacing w:before="0" w:after="0"/>
        <w:jc w:val="center"/>
        <w:rPr>
          <w:rFonts w:ascii="Times New Roman"/>
          <w:color w:val="auto"/>
          <w:sz w:val="32"/>
        </w:rPr>
      </w:pPr>
      <w:r>
        <w:rPr>
          <w:rFonts w:ascii="Times New Roman"/>
          <w:b w:val="0"/>
          <w:bCs/>
          <w:color w:val="auto"/>
          <w:sz w:val="32"/>
        </w:rPr>
        <w:br w:type="page"/>
      </w:r>
      <w:bookmarkStart w:id="334" w:name="_Toc3365"/>
      <w:bookmarkStart w:id="335" w:name="_Toc19706"/>
      <w:bookmarkStart w:id="336" w:name="_Toc32041"/>
      <w:bookmarkStart w:id="337" w:name="_Toc531676882"/>
      <w:bookmarkStart w:id="338" w:name="_Toc12105"/>
      <w:bookmarkStart w:id="339" w:name="_Toc19752"/>
      <w:bookmarkStart w:id="340" w:name="_Toc89430570"/>
      <w:bookmarkStart w:id="341" w:name="_Toc24601"/>
      <w:bookmarkStart w:id="342" w:name="_Toc15779"/>
      <w:bookmarkStart w:id="343" w:name="_Toc32227"/>
      <w:bookmarkStart w:id="344" w:name="_Toc13987"/>
      <w:r>
        <w:rPr>
          <w:rFonts w:ascii="Times New Roman"/>
          <w:color w:val="auto"/>
          <w:sz w:val="32"/>
        </w:rPr>
        <w:lastRenderedPageBreak/>
        <w:t>第十</w:t>
      </w:r>
      <w:r>
        <w:rPr>
          <w:rFonts w:ascii="Times New Roman" w:hint="eastAsia"/>
          <w:color w:val="auto"/>
          <w:sz w:val="32"/>
        </w:rPr>
        <w:t>五</w:t>
      </w:r>
      <w:r>
        <w:rPr>
          <w:rFonts w:ascii="Times New Roman"/>
          <w:color w:val="auto"/>
          <w:sz w:val="32"/>
        </w:rPr>
        <w:t>部分</w:t>
      </w:r>
      <w:r>
        <w:rPr>
          <w:rFonts w:ascii="Times New Roman" w:hint="eastAsia"/>
          <w:color w:val="auto"/>
          <w:sz w:val="32"/>
        </w:rPr>
        <w:t xml:space="preserve">  </w:t>
      </w:r>
      <w:r>
        <w:rPr>
          <w:rFonts w:ascii="Times New Roman"/>
          <w:color w:val="auto"/>
          <w:sz w:val="32"/>
        </w:rPr>
        <w:t>基金费用与税收</w:t>
      </w:r>
      <w:bookmarkEnd w:id="327"/>
      <w:bookmarkEnd w:id="328"/>
      <w:bookmarkEnd w:id="329"/>
      <w:bookmarkEnd w:id="334"/>
      <w:bookmarkEnd w:id="335"/>
      <w:bookmarkEnd w:id="336"/>
      <w:bookmarkEnd w:id="337"/>
      <w:bookmarkEnd w:id="338"/>
      <w:bookmarkEnd w:id="339"/>
      <w:bookmarkEnd w:id="340"/>
      <w:bookmarkEnd w:id="341"/>
      <w:bookmarkEnd w:id="342"/>
      <w:bookmarkEnd w:id="343"/>
      <w:bookmarkEnd w:id="344"/>
    </w:p>
    <w:p w14:paraId="082F0485" w14:textId="77777777" w:rsidR="00166BB1" w:rsidRDefault="00166BB1">
      <w:pPr>
        <w:spacing w:line="360" w:lineRule="auto"/>
        <w:ind w:firstLineChars="200" w:firstLine="480"/>
        <w:rPr>
          <w:bCs/>
          <w:sz w:val="24"/>
        </w:rPr>
      </w:pPr>
    </w:p>
    <w:p w14:paraId="0ECD0E74" w14:textId="77777777" w:rsidR="00166BB1" w:rsidRDefault="00166BB1">
      <w:pPr>
        <w:adjustRightInd w:val="0"/>
        <w:snapToGrid w:val="0"/>
        <w:spacing w:line="360" w:lineRule="auto"/>
        <w:ind w:firstLineChars="200" w:firstLine="480"/>
        <w:rPr>
          <w:rFonts w:ascii="宋体" w:hAnsi="宋体"/>
          <w:bCs/>
          <w:sz w:val="24"/>
          <w:szCs w:val="24"/>
        </w:rPr>
      </w:pPr>
      <w:bookmarkStart w:id="345" w:name="OLE_LINK1"/>
      <w:bookmarkStart w:id="346" w:name="OLE_LINK2"/>
      <w:r>
        <w:rPr>
          <w:rFonts w:ascii="宋体" w:hAnsi="宋体"/>
          <w:bCs/>
          <w:sz w:val="24"/>
          <w:szCs w:val="24"/>
        </w:rPr>
        <w:t>一、基金费用的种类</w:t>
      </w:r>
    </w:p>
    <w:p w14:paraId="6BB02B1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1、基金管理人的管理费；</w:t>
      </w:r>
    </w:p>
    <w:p w14:paraId="6071FEF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2、基金托管人的托管费；</w:t>
      </w:r>
    </w:p>
    <w:p w14:paraId="104F8CC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3、从C类基金份额的基金财产中计提的</w:t>
      </w:r>
      <w:r>
        <w:rPr>
          <w:rFonts w:ascii="宋体" w:hAnsi="宋体"/>
          <w:bCs/>
          <w:sz w:val="24"/>
          <w:szCs w:val="24"/>
        </w:rPr>
        <w:t>销售服务费；</w:t>
      </w:r>
    </w:p>
    <w:p w14:paraId="56D8342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w:t>
      </w:r>
      <w:r>
        <w:rPr>
          <w:rFonts w:ascii="宋体" w:hAnsi="宋体"/>
          <w:bCs/>
          <w:sz w:val="24"/>
          <w:szCs w:val="24"/>
        </w:rPr>
        <w:t>基金合同生效后与基金相关的信息披露费用；</w:t>
      </w:r>
    </w:p>
    <w:p w14:paraId="3F55030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5、基金合同生效后与基金相关的</w:t>
      </w:r>
      <w:r>
        <w:rPr>
          <w:rFonts w:ascii="宋体" w:hAnsi="宋体" w:hint="eastAsia"/>
          <w:bCs/>
          <w:sz w:val="24"/>
          <w:szCs w:val="24"/>
        </w:rPr>
        <w:t>会计师费、审计费、律师费、诉讼费和仲裁费等费用；</w:t>
      </w:r>
    </w:p>
    <w:p w14:paraId="3B60DA2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6、基金份额持有人大会费用；</w:t>
      </w:r>
    </w:p>
    <w:p w14:paraId="0D9D40F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w:t>
      </w:r>
      <w:r>
        <w:rPr>
          <w:rFonts w:ascii="宋体" w:hAnsi="宋体"/>
          <w:bCs/>
          <w:sz w:val="24"/>
          <w:szCs w:val="24"/>
        </w:rPr>
        <w:t>基金的证券</w:t>
      </w:r>
      <w:r>
        <w:rPr>
          <w:rFonts w:ascii="宋体" w:hAnsi="宋体" w:hint="eastAsia"/>
          <w:bCs/>
          <w:sz w:val="24"/>
          <w:szCs w:val="24"/>
        </w:rPr>
        <w:t>、</w:t>
      </w:r>
      <w:r>
        <w:rPr>
          <w:rFonts w:ascii="宋体" w:hAnsi="宋体"/>
          <w:bCs/>
          <w:sz w:val="24"/>
          <w:szCs w:val="24"/>
        </w:rPr>
        <w:t>期货</w:t>
      </w:r>
      <w:r>
        <w:rPr>
          <w:rFonts w:ascii="宋体" w:hAnsi="宋体" w:hint="eastAsia"/>
          <w:bCs/>
          <w:sz w:val="24"/>
          <w:szCs w:val="24"/>
        </w:rPr>
        <w:t>、</w:t>
      </w:r>
      <w:r>
        <w:rPr>
          <w:rFonts w:ascii="宋体" w:hAnsi="宋体"/>
          <w:bCs/>
          <w:sz w:val="24"/>
          <w:szCs w:val="24"/>
        </w:rPr>
        <w:t>股票期权</w:t>
      </w:r>
      <w:r>
        <w:rPr>
          <w:rFonts w:ascii="宋体" w:hAnsi="宋体" w:hint="eastAsia"/>
          <w:bCs/>
          <w:sz w:val="24"/>
          <w:szCs w:val="24"/>
        </w:rPr>
        <w:t>等投资标的</w:t>
      </w:r>
      <w:r>
        <w:rPr>
          <w:rFonts w:ascii="宋体" w:hAnsi="宋体"/>
          <w:bCs/>
          <w:sz w:val="24"/>
          <w:szCs w:val="24"/>
        </w:rPr>
        <w:t>交易</w:t>
      </w:r>
      <w:r>
        <w:rPr>
          <w:rFonts w:ascii="宋体" w:hAnsi="宋体" w:hint="eastAsia"/>
          <w:bCs/>
          <w:sz w:val="24"/>
          <w:szCs w:val="24"/>
        </w:rPr>
        <w:t>结算</w:t>
      </w:r>
      <w:r>
        <w:rPr>
          <w:rFonts w:ascii="宋体" w:hAnsi="宋体"/>
          <w:bCs/>
          <w:sz w:val="24"/>
          <w:szCs w:val="24"/>
        </w:rPr>
        <w:t>费用；</w:t>
      </w:r>
    </w:p>
    <w:p w14:paraId="64D20BC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8、基金的银行汇划费用；</w:t>
      </w:r>
    </w:p>
    <w:p w14:paraId="691BFA5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、基金相关账户开户和维护费用；</w:t>
      </w:r>
    </w:p>
    <w:p w14:paraId="7160866B" w14:textId="77777777" w:rsidR="00166BB1" w:rsidRDefault="00166BB1">
      <w:pPr>
        <w:adjustRightInd w:val="0"/>
        <w:snapToGrid w:val="0"/>
        <w:spacing w:line="360" w:lineRule="auto"/>
        <w:ind w:firstLineChars="200" w:firstLine="480"/>
        <w:rPr>
          <w:rFonts w:ascii="宋体" w:hAnsi="宋体"/>
          <w:bCs/>
          <w:sz w:val="24"/>
          <w:szCs w:val="24"/>
        </w:rPr>
      </w:pPr>
      <w:bookmarkStart w:id="347" w:name="_Hlk156637248"/>
      <w:r>
        <w:rPr>
          <w:rFonts w:ascii="宋体" w:hAnsi="宋体"/>
          <w:bCs/>
          <w:sz w:val="24"/>
          <w:szCs w:val="24"/>
        </w:rPr>
        <w:t>10、</w:t>
      </w:r>
      <w:bookmarkStart w:id="348" w:name="_Hlk191808213"/>
      <w:r>
        <w:rPr>
          <w:rFonts w:ascii="宋体" w:hAnsi="宋体" w:hint="eastAsia"/>
          <w:bCs/>
          <w:sz w:val="24"/>
          <w:szCs w:val="24"/>
        </w:rPr>
        <w:t>基金投资目标ETF的相关费用（包括但不限于对目标ETF的交易费用、</w:t>
      </w:r>
      <w:proofErr w:type="gramStart"/>
      <w:r>
        <w:rPr>
          <w:rFonts w:ascii="宋体" w:hAnsi="宋体" w:hint="eastAsia"/>
          <w:bCs/>
          <w:sz w:val="24"/>
          <w:szCs w:val="24"/>
        </w:rPr>
        <w:t>申赎费用</w:t>
      </w:r>
      <w:proofErr w:type="gramEnd"/>
      <w:r>
        <w:rPr>
          <w:rFonts w:ascii="宋体" w:hAnsi="宋体" w:hint="eastAsia"/>
          <w:bCs/>
          <w:sz w:val="24"/>
          <w:szCs w:val="24"/>
        </w:rPr>
        <w:t>等）</w:t>
      </w:r>
      <w:bookmarkEnd w:id="348"/>
      <w:r>
        <w:rPr>
          <w:rFonts w:ascii="宋体" w:hAnsi="宋体" w:hint="eastAsia"/>
          <w:bCs/>
          <w:sz w:val="24"/>
          <w:szCs w:val="24"/>
        </w:rPr>
        <w:t>；</w:t>
      </w:r>
    </w:p>
    <w:bookmarkEnd w:id="347"/>
    <w:p w14:paraId="1F119F6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11、按照国家有关规定和《基金合同》约定，可以在基金财产中列支的其他费用。</w:t>
      </w:r>
    </w:p>
    <w:p w14:paraId="021CCE85" w14:textId="77777777" w:rsidR="00166BB1" w:rsidRDefault="00166BB1">
      <w:pPr>
        <w:adjustRightInd w:val="0"/>
        <w:snapToGrid w:val="0"/>
        <w:spacing w:line="360" w:lineRule="auto"/>
        <w:ind w:firstLineChars="200" w:firstLine="480"/>
        <w:rPr>
          <w:rFonts w:ascii="宋体" w:hAnsi="宋体"/>
          <w:bCs/>
          <w:sz w:val="24"/>
          <w:szCs w:val="24"/>
        </w:rPr>
      </w:pPr>
      <w:bookmarkStart w:id="349" w:name="_Hlk207276469"/>
      <w:r>
        <w:rPr>
          <w:rFonts w:ascii="宋体" w:hAnsi="宋体" w:hint="eastAsia"/>
          <w:bCs/>
          <w:sz w:val="24"/>
          <w:szCs w:val="24"/>
        </w:rPr>
        <w:t>本基金终止清算时所发生合理费用，按实际支出额从基金财产中扣除。</w:t>
      </w:r>
      <w:bookmarkEnd w:id="349"/>
    </w:p>
    <w:p w14:paraId="262B7C37" w14:textId="77777777" w:rsidR="00166BB1" w:rsidRDefault="00166BB1">
      <w:pPr>
        <w:spacing w:line="360" w:lineRule="auto"/>
        <w:ind w:firstLineChars="200" w:firstLine="480"/>
        <w:rPr>
          <w:rFonts w:ascii="宋体" w:hAnsi="宋体"/>
          <w:bCs/>
          <w:sz w:val="24"/>
          <w:szCs w:val="24"/>
        </w:rPr>
      </w:pPr>
      <w:r>
        <w:rPr>
          <w:rFonts w:ascii="宋体" w:hAnsi="宋体"/>
          <w:bCs/>
          <w:sz w:val="24"/>
          <w:szCs w:val="24"/>
        </w:rPr>
        <w:t>二、基金费用计提方法、计提标准和支付方式</w:t>
      </w:r>
    </w:p>
    <w:p w14:paraId="6D4910C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1、基金管理人的管理费</w:t>
      </w:r>
    </w:p>
    <w:p w14:paraId="2715F8D1" w14:textId="236DD20E" w:rsidR="00166BB1" w:rsidRDefault="00166BB1">
      <w:pPr>
        <w:snapToGrid w:val="0"/>
        <w:spacing w:line="360" w:lineRule="auto"/>
        <w:ind w:firstLine="480"/>
        <w:rPr>
          <w:rFonts w:ascii="宋体" w:hAnsi="宋体"/>
          <w:bCs/>
          <w:sz w:val="24"/>
          <w:szCs w:val="24"/>
        </w:rPr>
      </w:pPr>
      <w:r>
        <w:rPr>
          <w:rFonts w:ascii="宋体" w:hAnsi="宋体" w:hint="eastAsia"/>
          <w:bCs/>
          <w:sz w:val="24"/>
          <w:szCs w:val="24"/>
        </w:rPr>
        <w:t>本</w:t>
      </w:r>
      <w:proofErr w:type="gramStart"/>
      <w:r>
        <w:rPr>
          <w:rFonts w:ascii="宋体" w:hAnsi="宋体" w:hint="eastAsia"/>
          <w:bCs/>
          <w:sz w:val="24"/>
          <w:szCs w:val="24"/>
        </w:rPr>
        <w:t>基金基金</w:t>
      </w:r>
      <w:proofErr w:type="gramEnd"/>
      <w:r>
        <w:rPr>
          <w:rFonts w:ascii="宋体" w:hAnsi="宋体" w:hint="eastAsia"/>
          <w:bCs/>
          <w:sz w:val="24"/>
          <w:szCs w:val="24"/>
        </w:rPr>
        <w:t>财产中投资于目标ETF的部分不收取管理费。本基金管理费按前一日基金资产净值扣除所持有目标ETF基金份额部分的基金资产净值后的余额（若为负数，则取0）</w:t>
      </w:r>
      <w:r>
        <w:rPr>
          <w:rFonts w:ascii="宋体" w:hAnsi="宋体"/>
          <w:bCs/>
          <w:sz w:val="24"/>
          <w:szCs w:val="24"/>
        </w:rPr>
        <w:t>的0.15</w:t>
      </w:r>
      <w:r>
        <w:rPr>
          <w:rFonts w:ascii="宋体" w:hAnsi="宋体" w:hint="eastAsia"/>
          <w:bCs/>
          <w:sz w:val="24"/>
          <w:szCs w:val="24"/>
        </w:rPr>
        <w:t>%</w:t>
      </w:r>
      <w:r>
        <w:rPr>
          <w:rFonts w:ascii="宋体" w:hAnsi="宋体"/>
          <w:bCs/>
          <w:sz w:val="24"/>
          <w:szCs w:val="24"/>
        </w:rPr>
        <w:t>年费率计提。管理费的计算方法如下：</w:t>
      </w:r>
    </w:p>
    <w:p w14:paraId="10F71EE7" w14:textId="320827B1"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H＝E×0.15</w:t>
      </w:r>
      <w:r>
        <w:rPr>
          <w:rFonts w:ascii="宋体" w:hAnsi="宋体" w:hint="eastAsia"/>
          <w:bCs/>
          <w:sz w:val="24"/>
          <w:szCs w:val="24"/>
        </w:rPr>
        <w:t>%</w:t>
      </w:r>
      <w:r>
        <w:rPr>
          <w:rFonts w:ascii="宋体" w:hAnsi="宋体"/>
          <w:bCs/>
          <w:sz w:val="24"/>
          <w:szCs w:val="24"/>
        </w:rPr>
        <w:t>÷当年天数</w:t>
      </w:r>
    </w:p>
    <w:p w14:paraId="7369478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H为每日应计提的基金管理费</w:t>
      </w:r>
    </w:p>
    <w:p w14:paraId="28E8F38F" w14:textId="77777777" w:rsidR="00166BB1" w:rsidRDefault="00166BB1">
      <w:pPr>
        <w:snapToGrid w:val="0"/>
        <w:spacing w:line="360" w:lineRule="auto"/>
        <w:ind w:firstLine="480"/>
        <w:rPr>
          <w:rFonts w:ascii="宋体" w:hAnsi="宋体"/>
          <w:bCs/>
          <w:sz w:val="24"/>
          <w:szCs w:val="24"/>
        </w:rPr>
      </w:pPr>
      <w:r>
        <w:rPr>
          <w:rFonts w:ascii="宋体" w:hAnsi="宋体"/>
          <w:bCs/>
          <w:sz w:val="24"/>
          <w:szCs w:val="24"/>
        </w:rPr>
        <w:t>E为前一日</w:t>
      </w:r>
      <w:r>
        <w:rPr>
          <w:rFonts w:ascii="宋体" w:hAnsi="宋体" w:hint="eastAsia"/>
          <w:bCs/>
          <w:sz w:val="24"/>
          <w:szCs w:val="24"/>
        </w:rPr>
        <w:t>基金资产净值-前一日所持有目标ETF基金份额部分的基金资产净值，若为负数，则E取0。</w:t>
      </w:r>
    </w:p>
    <w:p w14:paraId="0BD48AB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sz w:val="24"/>
        </w:rPr>
        <w:t>基金管理费每日计提，逐日累计至每月月末，按月支付。由基金托管人根据与基金管理人核对一致的财务数据，自动在月初5</w:t>
      </w:r>
      <w:proofErr w:type="gramStart"/>
      <w:r>
        <w:rPr>
          <w:rFonts w:ascii="宋体" w:hAnsi="宋体" w:hint="eastAsia"/>
          <w:sz w:val="24"/>
        </w:rPr>
        <w:t>个</w:t>
      </w:r>
      <w:proofErr w:type="gramEnd"/>
      <w:r>
        <w:rPr>
          <w:rFonts w:ascii="宋体" w:hAnsi="宋体" w:hint="eastAsia"/>
          <w:sz w:val="24"/>
        </w:rPr>
        <w:t>工作日内、按照指定的账户</w:t>
      </w:r>
      <w:r>
        <w:rPr>
          <w:rFonts w:ascii="宋体" w:hAnsi="宋体" w:hint="eastAsia"/>
          <w:sz w:val="24"/>
        </w:rPr>
        <w:lastRenderedPageBreak/>
        <w:t>路径进行资金支付，基金管理人无需再出具资金划拨指令。若遇法定节假日、休息日或不可抗力等致使无法按时支付的，顺延至最近可支付日支付。</w:t>
      </w:r>
      <w:r>
        <w:rPr>
          <w:rFonts w:ascii="宋体" w:hAnsi="宋体" w:hint="eastAsia"/>
          <w:bCs/>
          <w:sz w:val="24"/>
          <w:szCs w:val="24"/>
        </w:rPr>
        <w:t>费用自动扣划后，基金管理人应进行核对，如发现数据不符，及时联系托管人协商解决。</w:t>
      </w:r>
    </w:p>
    <w:p w14:paraId="73DB7409" w14:textId="77777777" w:rsidR="00166BB1" w:rsidRDefault="00166BB1">
      <w:pPr>
        <w:numPr>
          <w:ilvl w:val="0"/>
          <w:numId w:val="2"/>
        </w:numPr>
        <w:adjustRightInd w:val="0"/>
        <w:snapToGrid w:val="0"/>
        <w:spacing w:line="360" w:lineRule="auto"/>
        <w:ind w:firstLineChars="200" w:firstLine="480"/>
        <w:rPr>
          <w:rFonts w:ascii="宋体" w:hAnsi="宋体"/>
          <w:bCs/>
          <w:sz w:val="24"/>
          <w:szCs w:val="24"/>
        </w:rPr>
      </w:pPr>
      <w:r>
        <w:rPr>
          <w:rFonts w:ascii="宋体" w:hAnsi="宋体"/>
          <w:bCs/>
          <w:sz w:val="24"/>
          <w:szCs w:val="24"/>
        </w:rPr>
        <w:t>基金托管人的托管费</w:t>
      </w:r>
    </w:p>
    <w:p w14:paraId="44FF7561" w14:textId="0A241271" w:rsidR="00166BB1" w:rsidRDefault="00166BB1">
      <w:pPr>
        <w:snapToGrid w:val="0"/>
        <w:spacing w:line="360" w:lineRule="auto"/>
        <w:ind w:firstLine="480"/>
        <w:rPr>
          <w:rFonts w:ascii="宋体" w:hAnsi="宋体"/>
          <w:bCs/>
          <w:sz w:val="24"/>
          <w:szCs w:val="24"/>
        </w:rPr>
      </w:pPr>
      <w:r>
        <w:rPr>
          <w:rFonts w:ascii="宋体" w:hAnsi="宋体" w:hint="eastAsia"/>
          <w:bCs/>
          <w:sz w:val="24"/>
          <w:szCs w:val="24"/>
        </w:rPr>
        <w:t>本</w:t>
      </w:r>
      <w:proofErr w:type="gramStart"/>
      <w:r>
        <w:rPr>
          <w:rFonts w:ascii="宋体" w:hAnsi="宋体" w:hint="eastAsia"/>
          <w:bCs/>
          <w:sz w:val="24"/>
          <w:szCs w:val="24"/>
        </w:rPr>
        <w:t>基金基金</w:t>
      </w:r>
      <w:proofErr w:type="gramEnd"/>
      <w:r>
        <w:rPr>
          <w:rFonts w:ascii="宋体" w:hAnsi="宋体" w:hint="eastAsia"/>
          <w:bCs/>
          <w:sz w:val="24"/>
          <w:szCs w:val="24"/>
        </w:rPr>
        <w:t>财产中投资于目标ETF的部分不收取托管费。本基金托管费按前一日基金资产净值扣除所持有目标ETF基金份额部分的基金资产净值后的余额（若为负数，则取0）</w:t>
      </w:r>
      <w:r>
        <w:rPr>
          <w:rFonts w:ascii="宋体" w:hAnsi="宋体"/>
          <w:bCs/>
          <w:sz w:val="24"/>
          <w:szCs w:val="24"/>
        </w:rPr>
        <w:t>的</w:t>
      </w:r>
      <w:r>
        <w:rPr>
          <w:rFonts w:ascii="宋体" w:hAnsi="宋体"/>
          <w:sz w:val="24"/>
          <w:szCs w:val="24"/>
        </w:rPr>
        <w:t>0.05</w:t>
      </w:r>
      <w:r>
        <w:rPr>
          <w:rFonts w:ascii="宋体" w:hAnsi="宋体" w:hint="eastAsia"/>
          <w:sz w:val="24"/>
          <w:szCs w:val="24"/>
        </w:rPr>
        <w:t>%</w:t>
      </w:r>
      <w:r>
        <w:rPr>
          <w:rFonts w:ascii="宋体" w:hAnsi="宋体"/>
          <w:bCs/>
          <w:sz w:val="24"/>
          <w:szCs w:val="24"/>
        </w:rPr>
        <w:t>年费率计提。托管费的计算方法如下：</w:t>
      </w:r>
    </w:p>
    <w:p w14:paraId="1746EAAC" w14:textId="337C8902"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H＝E×</w:t>
      </w:r>
      <w:r>
        <w:rPr>
          <w:rFonts w:ascii="宋体" w:hAnsi="宋体"/>
          <w:sz w:val="24"/>
          <w:szCs w:val="24"/>
        </w:rPr>
        <w:t>0.05</w:t>
      </w:r>
      <w:r>
        <w:rPr>
          <w:rFonts w:ascii="宋体" w:hAnsi="宋体" w:hint="eastAsia"/>
          <w:sz w:val="24"/>
          <w:szCs w:val="24"/>
        </w:rPr>
        <w:t>%</w:t>
      </w:r>
      <w:r>
        <w:rPr>
          <w:rFonts w:ascii="宋体" w:hAnsi="宋体"/>
          <w:bCs/>
          <w:sz w:val="24"/>
          <w:szCs w:val="24"/>
        </w:rPr>
        <w:t>÷当年天数</w:t>
      </w:r>
    </w:p>
    <w:p w14:paraId="16A5998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H为每日应计提的基金托管费</w:t>
      </w:r>
    </w:p>
    <w:p w14:paraId="6A00CAF4" w14:textId="77777777" w:rsidR="00166BB1" w:rsidRDefault="00166BB1">
      <w:pPr>
        <w:snapToGrid w:val="0"/>
        <w:spacing w:line="360" w:lineRule="auto"/>
        <w:ind w:firstLine="480"/>
        <w:rPr>
          <w:rFonts w:ascii="宋体" w:hAnsi="宋体"/>
          <w:bCs/>
          <w:sz w:val="24"/>
          <w:szCs w:val="24"/>
        </w:rPr>
      </w:pPr>
      <w:r>
        <w:rPr>
          <w:rFonts w:ascii="宋体" w:hAnsi="宋体"/>
          <w:bCs/>
          <w:sz w:val="24"/>
          <w:szCs w:val="24"/>
        </w:rPr>
        <w:t>E为前一日的</w:t>
      </w:r>
      <w:r>
        <w:rPr>
          <w:rFonts w:ascii="宋体" w:hAnsi="宋体" w:hint="eastAsia"/>
          <w:bCs/>
          <w:sz w:val="24"/>
          <w:szCs w:val="24"/>
        </w:rPr>
        <w:t>基金资产净值-前一日所持有目标ETF基金份额部分的基金资产净值，若为负数，则E取0。</w:t>
      </w:r>
    </w:p>
    <w:p w14:paraId="3B76E1D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sz w:val="24"/>
        </w:rPr>
        <w:t>基金托管费每日计提，逐日累计至每月月末，按月支付。由基金托管人根据与基金管理人核对一致的财务数据，自动在月初5</w:t>
      </w:r>
      <w:proofErr w:type="gramStart"/>
      <w:r>
        <w:rPr>
          <w:rFonts w:ascii="宋体" w:hAnsi="宋体" w:hint="eastAsia"/>
          <w:sz w:val="24"/>
        </w:rPr>
        <w:t>个</w:t>
      </w:r>
      <w:proofErr w:type="gramEnd"/>
      <w:r>
        <w:rPr>
          <w:rFonts w:ascii="宋体" w:hAnsi="宋体" w:hint="eastAsia"/>
          <w:sz w:val="24"/>
        </w:rPr>
        <w:t>工作日内、按照指定的账户路径进行资金支付，基金管理人无需再出具资金划拨指令。若遇法定节假日、休息日或不可抗力等致使无法按时支付的，顺延至最近可支付日支付。</w:t>
      </w:r>
      <w:r>
        <w:rPr>
          <w:rFonts w:hint="eastAsia"/>
          <w:bCs/>
          <w:sz w:val="24"/>
        </w:rPr>
        <w:t>费用自动扣划后，基金管理人应进行核对，如发现数据不符，及时联系托管人协商解决。</w:t>
      </w:r>
    </w:p>
    <w:p w14:paraId="5AC2977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3、销售服务费</w:t>
      </w:r>
    </w:p>
    <w:p w14:paraId="763ACB49" w14:textId="2A2F1A12"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本基金A类基金份额不收取销售服务费，C类基金份额的销售服务费按前一日C类基金份额的基金资产净值的0.</w:t>
      </w:r>
      <w:r>
        <w:rPr>
          <w:rFonts w:ascii="宋体" w:hAnsi="宋体"/>
          <w:bCs/>
          <w:sz w:val="24"/>
          <w:szCs w:val="24"/>
        </w:rPr>
        <w:t>20%</w:t>
      </w:r>
      <w:r>
        <w:rPr>
          <w:rFonts w:ascii="宋体" w:hAnsi="宋体" w:hint="eastAsia"/>
          <w:bCs/>
          <w:sz w:val="24"/>
          <w:szCs w:val="24"/>
        </w:rPr>
        <w:t>年费率计提。计算方法如下：</w:t>
      </w:r>
    </w:p>
    <w:p w14:paraId="48959BCA" w14:textId="5BE209E5"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H＝E×0.</w:t>
      </w:r>
      <w:r>
        <w:rPr>
          <w:rFonts w:ascii="宋体" w:hAnsi="宋体"/>
          <w:bCs/>
          <w:sz w:val="24"/>
          <w:szCs w:val="24"/>
        </w:rPr>
        <w:t>20%</w:t>
      </w:r>
      <w:r>
        <w:rPr>
          <w:rFonts w:ascii="宋体" w:hAnsi="宋体" w:hint="eastAsia"/>
          <w:bCs/>
          <w:sz w:val="24"/>
          <w:szCs w:val="24"/>
        </w:rPr>
        <w:t>÷当年天数</w:t>
      </w:r>
    </w:p>
    <w:p w14:paraId="2E86805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H为C类基金份额每日应计提的销售服务费</w:t>
      </w:r>
    </w:p>
    <w:p w14:paraId="78F6F31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E为C类基金份额前一日基金资产净值</w:t>
      </w:r>
    </w:p>
    <w:p w14:paraId="34D8462B" w14:textId="77777777" w:rsidR="00166BB1" w:rsidRPr="00654FAD" w:rsidRDefault="00166BB1" w:rsidP="00654FAD">
      <w:pPr>
        <w:adjustRightInd w:val="0"/>
        <w:snapToGrid w:val="0"/>
        <w:spacing w:line="360" w:lineRule="auto"/>
        <w:ind w:firstLineChars="200" w:firstLine="480"/>
        <w:rPr>
          <w:rFonts w:ascii="宋体" w:hAnsi="宋体"/>
          <w:sz w:val="24"/>
        </w:rPr>
      </w:pPr>
      <w:r>
        <w:rPr>
          <w:rFonts w:ascii="宋体" w:hAnsi="宋体" w:hint="eastAsia"/>
          <w:bCs/>
          <w:sz w:val="24"/>
          <w:szCs w:val="24"/>
        </w:rPr>
        <w:t>销售服务费</w:t>
      </w:r>
      <w:r>
        <w:rPr>
          <w:rFonts w:ascii="宋体" w:hAnsi="宋体" w:hint="eastAsia"/>
          <w:sz w:val="24"/>
        </w:rPr>
        <w:t>每日计提</w:t>
      </w:r>
      <w:r w:rsidRPr="00654FAD">
        <w:rPr>
          <w:rFonts w:ascii="宋体" w:hAnsi="宋体" w:hint="eastAsia"/>
          <w:sz w:val="24"/>
        </w:rPr>
        <w:t>。</w:t>
      </w:r>
    </w:p>
    <w:p w14:paraId="6808BBDB" w14:textId="77777777" w:rsidR="00166BB1" w:rsidRPr="00654FAD" w:rsidRDefault="00166BB1" w:rsidP="00654FAD">
      <w:pPr>
        <w:adjustRightInd w:val="0"/>
        <w:snapToGrid w:val="0"/>
        <w:spacing w:line="360" w:lineRule="auto"/>
        <w:ind w:firstLineChars="200" w:firstLine="480"/>
        <w:rPr>
          <w:rFonts w:ascii="宋体" w:hAnsi="宋体"/>
          <w:sz w:val="24"/>
        </w:rPr>
      </w:pPr>
      <w:r w:rsidRPr="00654FAD">
        <w:rPr>
          <w:rFonts w:ascii="宋体" w:hAnsi="宋体" w:hint="eastAsia"/>
          <w:sz w:val="24"/>
        </w:rPr>
        <w:t>（1）基金管理人</w:t>
      </w:r>
    </w:p>
    <w:p w14:paraId="321BB167" w14:textId="77777777" w:rsidR="00166BB1" w:rsidRPr="00654FAD" w:rsidRDefault="00166BB1" w:rsidP="00654FAD">
      <w:pPr>
        <w:adjustRightInd w:val="0"/>
        <w:snapToGrid w:val="0"/>
        <w:spacing w:line="360" w:lineRule="auto"/>
        <w:ind w:firstLineChars="200" w:firstLine="480"/>
        <w:rPr>
          <w:rFonts w:ascii="宋体" w:hAnsi="宋体"/>
          <w:sz w:val="24"/>
        </w:rPr>
      </w:pPr>
      <w:r w:rsidRPr="00654FAD">
        <w:rPr>
          <w:rFonts w:ascii="宋体" w:hAnsi="宋体" w:hint="eastAsia"/>
          <w:sz w:val="24"/>
        </w:rPr>
        <w:t>通过基金管理人认购、申购C类基金份额的不收取销售服务费。对于投资者通过基金管理人认（申）购的C类基金份额计提的销售服务费，在投资者赎回基金份额或基金合同终止时，随赎回款（或清算款）一并返还给投资者。</w:t>
      </w:r>
    </w:p>
    <w:p w14:paraId="6B718505" w14:textId="77777777" w:rsidR="00166BB1" w:rsidRPr="00654FAD" w:rsidRDefault="00166BB1" w:rsidP="00654FAD">
      <w:pPr>
        <w:adjustRightInd w:val="0"/>
        <w:snapToGrid w:val="0"/>
        <w:spacing w:line="360" w:lineRule="auto"/>
        <w:ind w:firstLineChars="200" w:firstLine="480"/>
        <w:rPr>
          <w:rFonts w:ascii="宋体" w:hAnsi="宋体"/>
          <w:sz w:val="24"/>
        </w:rPr>
      </w:pPr>
      <w:r w:rsidRPr="00654FAD">
        <w:rPr>
          <w:rFonts w:ascii="宋体" w:hAnsi="宋体" w:hint="eastAsia"/>
          <w:sz w:val="24"/>
        </w:rPr>
        <w:t>若遇法定节假日、休息日或不可抗力等致使无法按时支付的，顺延至最近可支付日支付。</w:t>
      </w:r>
    </w:p>
    <w:p w14:paraId="7D091164" w14:textId="77777777" w:rsidR="00166BB1" w:rsidRPr="00654FAD" w:rsidRDefault="00166BB1" w:rsidP="00654FAD">
      <w:pPr>
        <w:adjustRightInd w:val="0"/>
        <w:snapToGrid w:val="0"/>
        <w:spacing w:line="360" w:lineRule="auto"/>
        <w:ind w:firstLineChars="200" w:firstLine="480"/>
        <w:rPr>
          <w:rFonts w:ascii="宋体" w:hAnsi="宋体"/>
          <w:sz w:val="24"/>
        </w:rPr>
      </w:pPr>
      <w:r w:rsidRPr="00654FAD">
        <w:rPr>
          <w:rFonts w:ascii="宋体" w:hAnsi="宋体" w:hint="eastAsia"/>
          <w:sz w:val="24"/>
        </w:rPr>
        <w:t>（2）</w:t>
      </w:r>
      <w:proofErr w:type="gramStart"/>
      <w:r w:rsidRPr="00654FAD">
        <w:rPr>
          <w:rFonts w:ascii="宋体" w:hAnsi="宋体" w:hint="eastAsia"/>
          <w:sz w:val="24"/>
        </w:rPr>
        <w:t>非基金</w:t>
      </w:r>
      <w:proofErr w:type="gramEnd"/>
      <w:r w:rsidRPr="00654FAD">
        <w:rPr>
          <w:rFonts w:ascii="宋体" w:hAnsi="宋体" w:hint="eastAsia"/>
          <w:sz w:val="24"/>
        </w:rPr>
        <w:t>管理人的其他销售机构</w:t>
      </w:r>
    </w:p>
    <w:p w14:paraId="5FED1DD7" w14:textId="3BCBAF90" w:rsidR="00166BB1" w:rsidRDefault="00166BB1" w:rsidP="00654FAD">
      <w:pPr>
        <w:adjustRightInd w:val="0"/>
        <w:snapToGrid w:val="0"/>
        <w:spacing w:line="360" w:lineRule="auto"/>
        <w:ind w:firstLineChars="200" w:firstLine="480"/>
        <w:rPr>
          <w:bCs/>
          <w:sz w:val="24"/>
        </w:rPr>
      </w:pPr>
      <w:r w:rsidRPr="00654FAD">
        <w:rPr>
          <w:rFonts w:ascii="宋体" w:hAnsi="宋体" w:hint="eastAsia"/>
          <w:sz w:val="24"/>
        </w:rPr>
        <w:lastRenderedPageBreak/>
        <w:t>对于投资者持续持有期限未超过一年的C类基金份额计提的销售服务费</w:t>
      </w:r>
      <w:r>
        <w:rPr>
          <w:rFonts w:ascii="宋体" w:hAnsi="宋体" w:hint="eastAsia"/>
          <w:sz w:val="24"/>
        </w:rPr>
        <w:t>，逐日累计至每月月末，按月支付。由基金托管人根据与基金管理人核对一致的财务数据，自动在月初5</w:t>
      </w:r>
      <w:proofErr w:type="gramStart"/>
      <w:r>
        <w:rPr>
          <w:rFonts w:ascii="宋体" w:hAnsi="宋体" w:hint="eastAsia"/>
          <w:sz w:val="24"/>
        </w:rPr>
        <w:t>个</w:t>
      </w:r>
      <w:proofErr w:type="gramEnd"/>
      <w:r>
        <w:rPr>
          <w:rFonts w:ascii="宋体" w:hAnsi="宋体" w:hint="eastAsia"/>
          <w:sz w:val="24"/>
        </w:rPr>
        <w:t>工作日内、按照指定的账户路径进行资金支付，基金管理人无需再出具资金划拨指令。若遇法定节假日、休息日或不可抗力等致使无法按时支付的，顺延至最近可支付日支付。</w:t>
      </w:r>
      <w:r>
        <w:rPr>
          <w:rFonts w:hint="eastAsia"/>
          <w:bCs/>
          <w:sz w:val="24"/>
        </w:rPr>
        <w:t>费用自动扣划后，基金管理人应进行核对，如发现数据不符，及时联系托管人协商解决。</w:t>
      </w:r>
    </w:p>
    <w:p w14:paraId="269EAC54" w14:textId="77777777" w:rsidR="00166BB1" w:rsidRPr="00654FAD" w:rsidRDefault="00166BB1" w:rsidP="00654FAD">
      <w:pPr>
        <w:adjustRightInd w:val="0"/>
        <w:snapToGrid w:val="0"/>
        <w:spacing w:line="360" w:lineRule="auto"/>
        <w:ind w:firstLineChars="200" w:firstLine="480"/>
        <w:rPr>
          <w:rFonts w:ascii="黑体" w:hAnsi="黑体"/>
          <w:bCs/>
          <w:sz w:val="24"/>
          <w:szCs w:val="24"/>
        </w:rPr>
      </w:pPr>
      <w:r w:rsidRPr="00654FAD">
        <w:rPr>
          <w:rFonts w:ascii="黑体" w:hAnsi="黑体" w:hint="eastAsia"/>
          <w:bCs/>
          <w:sz w:val="24"/>
          <w:szCs w:val="24"/>
        </w:rPr>
        <w:t>对于投资者持续持有期限超过一年的</w:t>
      </w:r>
      <w:r>
        <w:rPr>
          <w:rFonts w:ascii="黑体" w:hAnsi="黑体" w:hint="eastAsia"/>
          <w:bCs/>
          <w:sz w:val="24"/>
          <w:szCs w:val="24"/>
        </w:rPr>
        <w:t>C</w:t>
      </w:r>
      <w:r w:rsidRPr="00654FAD">
        <w:rPr>
          <w:rFonts w:ascii="黑体" w:hAnsi="黑体" w:hint="eastAsia"/>
          <w:bCs/>
          <w:sz w:val="24"/>
          <w:szCs w:val="24"/>
        </w:rPr>
        <w:t>类基金份额继续计提的销售服务费，在投资者赎回基金份额或基金合同终止时，随赎回款（或清算款）一并返还给投资者。其中，持续持有期限为基金合同生效日（针对募集期内认购的基金份额）或该笔份额申购确认日、转入确认日与赎回确认日、转出确认日或基金合同终止情形发生日下</w:t>
      </w:r>
      <w:proofErr w:type="gramStart"/>
      <w:r w:rsidRPr="00654FAD">
        <w:rPr>
          <w:rFonts w:ascii="黑体" w:hAnsi="黑体" w:hint="eastAsia"/>
          <w:bCs/>
          <w:sz w:val="24"/>
          <w:szCs w:val="24"/>
        </w:rPr>
        <w:t>一</w:t>
      </w:r>
      <w:proofErr w:type="gramEnd"/>
      <w:r w:rsidRPr="00654FAD">
        <w:rPr>
          <w:rFonts w:ascii="黑体" w:hAnsi="黑体" w:hint="eastAsia"/>
          <w:bCs/>
          <w:sz w:val="24"/>
          <w:szCs w:val="24"/>
        </w:rPr>
        <w:t>工作日的间隔天数。</w:t>
      </w:r>
    </w:p>
    <w:p w14:paraId="3045E995" w14:textId="77777777" w:rsidR="00166BB1" w:rsidRPr="00654FAD" w:rsidRDefault="00166BB1" w:rsidP="00654FAD">
      <w:pPr>
        <w:adjustRightInd w:val="0"/>
        <w:snapToGrid w:val="0"/>
        <w:spacing w:line="360" w:lineRule="auto"/>
        <w:ind w:firstLineChars="200" w:firstLine="480"/>
        <w:rPr>
          <w:rFonts w:ascii="黑体" w:hAnsi="黑体"/>
          <w:bCs/>
          <w:sz w:val="24"/>
          <w:szCs w:val="24"/>
        </w:rPr>
      </w:pPr>
      <w:r w:rsidRPr="00654FAD">
        <w:rPr>
          <w:rFonts w:ascii="黑体" w:hAnsi="黑体" w:hint="eastAsia"/>
          <w:bCs/>
          <w:sz w:val="24"/>
          <w:szCs w:val="24"/>
        </w:rPr>
        <w:t>若遇法定节假日、休息日或不可抗力等致使无法按时支付的，顺延至最近可支付日支付。</w:t>
      </w:r>
    </w:p>
    <w:p w14:paraId="051ED585" w14:textId="77777777" w:rsidR="00166BB1" w:rsidRPr="00654FAD" w:rsidRDefault="00166BB1" w:rsidP="00654FAD">
      <w:pPr>
        <w:adjustRightInd w:val="0"/>
        <w:snapToGrid w:val="0"/>
        <w:spacing w:line="360" w:lineRule="auto"/>
        <w:ind w:firstLineChars="200" w:firstLine="480"/>
        <w:rPr>
          <w:rFonts w:ascii="黑体" w:hAnsi="黑体"/>
          <w:bCs/>
          <w:sz w:val="24"/>
          <w:szCs w:val="24"/>
        </w:rPr>
      </w:pPr>
      <w:r w:rsidRPr="00654FAD">
        <w:rPr>
          <w:rFonts w:ascii="黑体" w:hAnsi="黑体" w:hint="eastAsia"/>
          <w:bCs/>
          <w:sz w:val="24"/>
          <w:szCs w:val="24"/>
        </w:rPr>
        <w:t>在基金份额赎回或基金合同终止的情形发生时，基金投资者实际收到的款项可能与按披露的基金份额净值计算的结果存在差异。投资者的实际赎回款（或清算款）以登记机构确认数据为准。</w:t>
      </w:r>
    </w:p>
    <w:p w14:paraId="0AF2015F" w14:textId="77777777" w:rsidR="00166BB1" w:rsidRDefault="00166BB1" w:rsidP="00654FAD">
      <w:pPr>
        <w:adjustRightInd w:val="0"/>
        <w:snapToGrid w:val="0"/>
        <w:spacing w:line="360" w:lineRule="auto"/>
        <w:ind w:firstLineChars="200" w:firstLine="480"/>
        <w:rPr>
          <w:rFonts w:ascii="黑体" w:hAnsi="黑体"/>
          <w:bCs/>
          <w:sz w:val="24"/>
          <w:szCs w:val="24"/>
        </w:rPr>
      </w:pPr>
      <w:r w:rsidRPr="00654FAD">
        <w:rPr>
          <w:rFonts w:ascii="黑体" w:hAnsi="黑体" w:hint="eastAsia"/>
          <w:bCs/>
          <w:sz w:val="24"/>
          <w:szCs w:val="24"/>
        </w:rPr>
        <w:t>在不违反法律法规、基金合同的约定的情况下，基金管理人可根据基金实际运作情况和市场环境变化，经履行适当程序后，对本基金的销售服务费的计提或收取方式进行调整。</w:t>
      </w:r>
    </w:p>
    <w:p w14:paraId="012B59E1" w14:textId="77777777"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上述“一、基金费用的种类”中第</w:t>
      </w:r>
      <w:r>
        <w:rPr>
          <w:rFonts w:ascii="宋体" w:hAnsi="宋体"/>
          <w:bCs/>
          <w:sz w:val="24"/>
          <w:szCs w:val="24"/>
        </w:rPr>
        <w:t>4</w:t>
      </w:r>
      <w:r>
        <w:rPr>
          <w:rFonts w:ascii="宋体" w:hAnsi="宋体" w:hint="eastAsia"/>
          <w:bCs/>
          <w:sz w:val="24"/>
          <w:szCs w:val="24"/>
        </w:rPr>
        <w:t>－</w:t>
      </w:r>
      <w:r>
        <w:rPr>
          <w:rFonts w:ascii="宋体" w:hAnsi="宋体"/>
          <w:bCs/>
          <w:sz w:val="24"/>
          <w:szCs w:val="24"/>
        </w:rPr>
        <w:t>1</w:t>
      </w:r>
      <w:r>
        <w:rPr>
          <w:rFonts w:ascii="宋体" w:hAnsi="宋体" w:hint="eastAsia"/>
          <w:bCs/>
          <w:sz w:val="24"/>
          <w:szCs w:val="24"/>
        </w:rPr>
        <w:t>1项费用，根据有关法规及相应协议规定，按费用实际支出金额列入当期费用，由基金托管人从基金财产中支付。</w:t>
      </w:r>
      <w:r w:rsidRPr="00A33E4A">
        <w:rPr>
          <w:rFonts w:ascii="宋体" w:hAnsi="宋体" w:hint="eastAsia"/>
          <w:bCs/>
          <w:sz w:val="24"/>
          <w:szCs w:val="24"/>
        </w:rPr>
        <w:t>基金综合费用水平请参见产品资料概要等文件。</w:t>
      </w:r>
    </w:p>
    <w:p w14:paraId="7723C156" w14:textId="77777777" w:rsidR="00166BB1" w:rsidRDefault="00166BB1">
      <w:pPr>
        <w:spacing w:line="360" w:lineRule="auto"/>
        <w:ind w:firstLineChars="200" w:firstLine="480"/>
        <w:rPr>
          <w:rFonts w:ascii="宋体" w:hAnsi="宋体"/>
          <w:bCs/>
          <w:sz w:val="24"/>
          <w:szCs w:val="24"/>
        </w:rPr>
      </w:pPr>
      <w:r>
        <w:rPr>
          <w:rFonts w:ascii="宋体" w:hAnsi="宋体"/>
          <w:bCs/>
          <w:sz w:val="24"/>
          <w:szCs w:val="24"/>
        </w:rPr>
        <w:t>三、不列入基金费用的项目</w:t>
      </w:r>
    </w:p>
    <w:p w14:paraId="31BCEDB7" w14:textId="77777777" w:rsidR="00166BB1" w:rsidRDefault="00166BB1">
      <w:pPr>
        <w:spacing w:line="360" w:lineRule="auto"/>
        <w:ind w:firstLineChars="200" w:firstLine="480"/>
        <w:rPr>
          <w:rFonts w:ascii="宋体" w:hAnsi="宋体"/>
          <w:bCs/>
          <w:sz w:val="24"/>
          <w:szCs w:val="24"/>
        </w:rPr>
      </w:pPr>
      <w:r>
        <w:rPr>
          <w:rFonts w:ascii="宋体" w:hAnsi="宋体"/>
          <w:bCs/>
          <w:sz w:val="24"/>
          <w:szCs w:val="24"/>
        </w:rPr>
        <w:t>下列费用不列入基金费用：</w:t>
      </w:r>
    </w:p>
    <w:p w14:paraId="37F85308" w14:textId="77777777" w:rsidR="00166BB1" w:rsidRDefault="00166BB1">
      <w:pPr>
        <w:spacing w:line="360" w:lineRule="auto"/>
        <w:ind w:firstLineChars="200" w:firstLine="480"/>
        <w:rPr>
          <w:rFonts w:ascii="宋体" w:hAnsi="宋体"/>
          <w:bCs/>
          <w:sz w:val="24"/>
          <w:szCs w:val="24"/>
        </w:rPr>
      </w:pPr>
      <w:r>
        <w:rPr>
          <w:rFonts w:ascii="宋体" w:hAnsi="宋体"/>
          <w:bCs/>
          <w:sz w:val="24"/>
          <w:szCs w:val="24"/>
        </w:rPr>
        <w:t>1、基金管理人和基金托管人因未履行或未完全履行义务导致的费用支出或基金财产的损失；</w:t>
      </w:r>
    </w:p>
    <w:p w14:paraId="4C9633AB" w14:textId="77777777" w:rsidR="00166BB1" w:rsidRDefault="00166BB1">
      <w:pPr>
        <w:spacing w:line="360" w:lineRule="auto"/>
        <w:ind w:firstLineChars="200" w:firstLine="480"/>
        <w:rPr>
          <w:rFonts w:ascii="宋体" w:hAnsi="宋体"/>
          <w:bCs/>
          <w:sz w:val="24"/>
          <w:szCs w:val="24"/>
        </w:rPr>
      </w:pPr>
      <w:r>
        <w:rPr>
          <w:rFonts w:ascii="宋体" w:hAnsi="宋体"/>
          <w:bCs/>
          <w:sz w:val="24"/>
          <w:szCs w:val="24"/>
        </w:rPr>
        <w:t>2、基金管理人和基金托管人处理与基金运作无关的事项发生的费用；</w:t>
      </w:r>
    </w:p>
    <w:p w14:paraId="39491830" w14:textId="77777777" w:rsidR="00166BB1" w:rsidRDefault="00166BB1">
      <w:pPr>
        <w:spacing w:line="360" w:lineRule="auto"/>
        <w:ind w:firstLineChars="200" w:firstLine="480"/>
        <w:rPr>
          <w:rFonts w:ascii="宋体" w:hAnsi="宋体"/>
          <w:bCs/>
          <w:sz w:val="24"/>
          <w:szCs w:val="24"/>
        </w:rPr>
      </w:pPr>
      <w:r>
        <w:rPr>
          <w:rFonts w:ascii="宋体" w:hAnsi="宋体"/>
          <w:bCs/>
          <w:sz w:val="24"/>
          <w:szCs w:val="24"/>
        </w:rPr>
        <w:t>3、基金合同生效前的相关费用；</w:t>
      </w:r>
    </w:p>
    <w:p w14:paraId="4431C6F3" w14:textId="77777777"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、其他根据相关法律法规及中国证监会的有关规定不得列入基金费用的项目。</w:t>
      </w:r>
      <w:bookmarkStart w:id="350" w:name="_Hlt88827255"/>
      <w:bookmarkEnd w:id="350"/>
    </w:p>
    <w:p w14:paraId="44AA2621" w14:textId="77777777"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lastRenderedPageBreak/>
        <w:t>四</w:t>
      </w:r>
      <w:r>
        <w:rPr>
          <w:rFonts w:ascii="宋体" w:hAnsi="宋体"/>
          <w:bCs/>
          <w:sz w:val="24"/>
          <w:szCs w:val="24"/>
        </w:rPr>
        <w:t>、</w:t>
      </w:r>
      <w:r>
        <w:rPr>
          <w:rFonts w:ascii="宋体" w:hAnsi="宋体" w:hint="eastAsia"/>
          <w:bCs/>
          <w:sz w:val="24"/>
          <w:szCs w:val="24"/>
        </w:rPr>
        <w:t>实施</w:t>
      </w:r>
      <w:proofErr w:type="gramStart"/>
      <w:r>
        <w:rPr>
          <w:rFonts w:ascii="宋体" w:hAnsi="宋体" w:hint="eastAsia"/>
          <w:bCs/>
          <w:sz w:val="24"/>
          <w:szCs w:val="24"/>
        </w:rPr>
        <w:t>侧袋机制</w:t>
      </w:r>
      <w:proofErr w:type="gramEnd"/>
      <w:r>
        <w:rPr>
          <w:rFonts w:ascii="宋体" w:hAnsi="宋体" w:hint="eastAsia"/>
          <w:bCs/>
          <w:sz w:val="24"/>
          <w:szCs w:val="24"/>
        </w:rPr>
        <w:t>期间的基金费用</w:t>
      </w:r>
    </w:p>
    <w:p w14:paraId="4E858F43" w14:textId="77777777"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w:t>
      </w:r>
      <w:proofErr w:type="gramStart"/>
      <w:r>
        <w:rPr>
          <w:rFonts w:ascii="宋体" w:hAnsi="宋体" w:hint="eastAsia"/>
          <w:bCs/>
          <w:sz w:val="24"/>
          <w:szCs w:val="24"/>
        </w:rPr>
        <w:t>与侧袋账户</w:t>
      </w:r>
      <w:proofErr w:type="gramEnd"/>
      <w:r>
        <w:rPr>
          <w:rFonts w:ascii="宋体" w:hAnsi="宋体" w:hint="eastAsia"/>
          <w:bCs/>
          <w:sz w:val="24"/>
          <w:szCs w:val="24"/>
        </w:rPr>
        <w:t>有关的费用可以</w:t>
      </w:r>
      <w:proofErr w:type="gramStart"/>
      <w:r>
        <w:rPr>
          <w:rFonts w:ascii="宋体" w:hAnsi="宋体" w:hint="eastAsia"/>
          <w:bCs/>
          <w:sz w:val="24"/>
          <w:szCs w:val="24"/>
        </w:rPr>
        <w:t>从侧袋账户</w:t>
      </w:r>
      <w:proofErr w:type="gramEnd"/>
      <w:r>
        <w:rPr>
          <w:rFonts w:ascii="宋体" w:hAnsi="宋体" w:hint="eastAsia"/>
          <w:bCs/>
          <w:sz w:val="24"/>
          <w:szCs w:val="24"/>
        </w:rPr>
        <w:t>中列支，但应</w:t>
      </w:r>
      <w:proofErr w:type="gramStart"/>
      <w:r>
        <w:rPr>
          <w:rFonts w:ascii="宋体" w:hAnsi="宋体" w:hint="eastAsia"/>
          <w:bCs/>
          <w:sz w:val="24"/>
          <w:szCs w:val="24"/>
        </w:rPr>
        <w:t>待侧袋</w:t>
      </w:r>
      <w:proofErr w:type="gramEnd"/>
      <w:r>
        <w:rPr>
          <w:rFonts w:ascii="宋体" w:hAnsi="宋体" w:hint="eastAsia"/>
          <w:bCs/>
          <w:sz w:val="24"/>
          <w:szCs w:val="24"/>
        </w:rPr>
        <w:t>账户资产变现后方可列支，有关费用可酌情收取或减免，但不得收取基金管理费，详见招募说明书的规定或相关公告。</w:t>
      </w:r>
    </w:p>
    <w:p w14:paraId="74D5DDEB" w14:textId="77777777"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基金税收</w:t>
      </w:r>
    </w:p>
    <w:p w14:paraId="4BAF85BE" w14:textId="77777777"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7AAB027" w14:textId="77777777" w:rsidR="00166BB1" w:rsidRDefault="00166BB1">
      <w:pPr>
        <w:pStyle w:val="1"/>
        <w:spacing w:before="0" w:after="0"/>
        <w:jc w:val="center"/>
        <w:rPr>
          <w:rFonts w:ascii="Times New Roman"/>
          <w:color w:val="auto"/>
          <w:sz w:val="32"/>
        </w:rPr>
      </w:pPr>
      <w:bookmarkStart w:id="351" w:name="_Toc93226149"/>
      <w:bookmarkStart w:id="352" w:name="_Toc92662707"/>
      <w:bookmarkStart w:id="353" w:name="_Toc22552"/>
      <w:bookmarkStart w:id="354" w:name="_Toc139991746"/>
      <w:bookmarkStart w:id="355" w:name="_Toc141703896"/>
      <w:bookmarkStart w:id="356" w:name="_Toc128310499"/>
      <w:r>
        <w:rPr>
          <w:rFonts w:ascii="Times New Roman"/>
          <w:b w:val="0"/>
          <w:bCs/>
          <w:color w:val="auto"/>
          <w:sz w:val="32"/>
        </w:rPr>
        <w:br w:type="page"/>
      </w:r>
      <w:bookmarkStart w:id="357" w:name="_Toc531676883"/>
      <w:bookmarkStart w:id="358" w:name="_Toc21829"/>
      <w:bookmarkStart w:id="359" w:name="_Toc178"/>
      <w:bookmarkStart w:id="360" w:name="_Toc25883"/>
      <w:bookmarkStart w:id="361" w:name="_Toc15525"/>
      <w:bookmarkStart w:id="362" w:name="_Toc1617"/>
      <w:bookmarkStart w:id="363" w:name="_Toc3656"/>
      <w:bookmarkStart w:id="364" w:name="_Toc19558"/>
      <w:bookmarkStart w:id="365" w:name="_Toc89430571"/>
      <w:bookmarkStart w:id="366" w:name="_Toc12761"/>
      <w:bookmarkStart w:id="367" w:name="_Toc20052"/>
      <w:bookmarkEnd w:id="345"/>
      <w:bookmarkEnd w:id="346"/>
      <w:r>
        <w:rPr>
          <w:rFonts w:ascii="Times New Roman"/>
          <w:color w:val="auto"/>
          <w:sz w:val="32"/>
        </w:rPr>
        <w:lastRenderedPageBreak/>
        <w:t>第十</w:t>
      </w:r>
      <w:r>
        <w:rPr>
          <w:rFonts w:ascii="Times New Roman" w:hint="eastAsia"/>
          <w:color w:val="auto"/>
          <w:sz w:val="32"/>
        </w:rPr>
        <w:t>六</w:t>
      </w:r>
      <w:r>
        <w:rPr>
          <w:rFonts w:ascii="Times New Roman"/>
          <w:color w:val="auto"/>
          <w:sz w:val="32"/>
        </w:rPr>
        <w:t>部分</w:t>
      </w:r>
      <w:r>
        <w:rPr>
          <w:rFonts w:ascii="Times New Roman" w:hint="eastAsia"/>
          <w:color w:val="auto"/>
          <w:sz w:val="32"/>
        </w:rPr>
        <w:t xml:space="preserve">  </w:t>
      </w:r>
      <w:r>
        <w:rPr>
          <w:rFonts w:ascii="Times New Roman"/>
          <w:color w:val="auto"/>
          <w:sz w:val="32"/>
        </w:rPr>
        <w:t>基金</w:t>
      </w:r>
      <w:bookmarkEnd w:id="351"/>
      <w:bookmarkEnd w:id="352"/>
      <w:r>
        <w:rPr>
          <w:rFonts w:ascii="Times New Roman"/>
          <w:color w:val="auto"/>
          <w:sz w:val="32"/>
        </w:rPr>
        <w:t>的收益与分配</w:t>
      </w:r>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p w14:paraId="5A3491BF" w14:textId="77777777" w:rsidR="00166BB1" w:rsidRDefault="00166BB1">
      <w:pPr>
        <w:spacing w:line="360" w:lineRule="auto"/>
        <w:rPr>
          <w:bCs/>
        </w:rPr>
      </w:pPr>
    </w:p>
    <w:p w14:paraId="2DC83477"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bCs/>
          <w:sz w:val="24"/>
          <w:szCs w:val="24"/>
        </w:rPr>
        <w:t>一、基金利润的构成</w:t>
      </w:r>
    </w:p>
    <w:p w14:paraId="7491782B"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bCs/>
          <w:sz w:val="24"/>
          <w:szCs w:val="24"/>
        </w:rPr>
        <w:t>基金利润指基金利息收入、投资收益、公允价值变动收益和其他收入扣除相关费用后的余额，基金已实现收益指基金利润减去公允价值变动收益后的余额。</w:t>
      </w:r>
    </w:p>
    <w:p w14:paraId="0BBBF9A4"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bCs/>
          <w:sz w:val="24"/>
          <w:szCs w:val="24"/>
        </w:rPr>
        <w:t>二、基金可供分配利润</w:t>
      </w:r>
    </w:p>
    <w:p w14:paraId="4564D155"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bCs/>
          <w:sz w:val="24"/>
          <w:szCs w:val="24"/>
        </w:rPr>
        <w:t>基金可供分配利润指截至收益分配基准日基金未分配利润与未分配利润中已实现收益的孰低数。</w:t>
      </w:r>
    </w:p>
    <w:p w14:paraId="47BF9207"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bCs/>
          <w:sz w:val="24"/>
          <w:szCs w:val="24"/>
        </w:rPr>
        <w:t>三、基金收益分配原则</w:t>
      </w:r>
    </w:p>
    <w:p w14:paraId="1B5202D1"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1、在符合有关基金分红条件的前提下，本基金管理人可以根据实际情况进行收益分配，具体分配方案以公告为准。若《基金合同》生效不满3个月可不进行收益分配；</w:t>
      </w:r>
    </w:p>
    <w:p w14:paraId="3442D176"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2、本基金收益分配方式分两种：现金分红与红利再投资，投资人可选择现金红利或将现金红利自动转为相应类别的基金份额进行再投资；若投资人不选择，本基金默认的收益分配方式是现金分红；红利再投资方式免收再投资的费用；</w:t>
      </w:r>
    </w:p>
    <w:p w14:paraId="026A64ED" w14:textId="6AC91C98" w:rsidR="00166BB1" w:rsidRDefault="00166BB1">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3、</w:t>
      </w:r>
      <w:r w:rsidRPr="00A33E4A">
        <w:rPr>
          <w:rFonts w:ascii="宋体" w:hAnsi="宋体" w:hint="eastAsia"/>
          <w:bCs/>
          <w:sz w:val="24"/>
          <w:szCs w:val="24"/>
        </w:rPr>
        <w:t>由于本基金A类基金份额与C类基金份额的基金费用不同</w:t>
      </w:r>
      <w:r>
        <w:rPr>
          <w:rFonts w:ascii="宋体" w:hAnsi="宋体" w:hint="eastAsia"/>
          <w:bCs/>
          <w:sz w:val="24"/>
          <w:szCs w:val="24"/>
        </w:rPr>
        <w:t>，各基金份额类别对应的可供分配利润将有所不同。本基金同一类别的每一基金份额享有同等分配权；</w:t>
      </w:r>
    </w:p>
    <w:p w14:paraId="46AE8F65"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4、法律法规或监管机关另有规定的，从其规定。</w:t>
      </w:r>
    </w:p>
    <w:p w14:paraId="31BFF17B"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在不违反法律法规且对基金份额持有人利益无实质性不利影响的前提下，基金管理人在与基金托管人协商一致并履行适当程序后，可酌情调整以上基金收益分配原则和支付方式，并于变更实施日前按照《信息披露办法》的规定在规定媒介上公告。</w:t>
      </w:r>
    </w:p>
    <w:p w14:paraId="2B9FD9B8"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bCs/>
          <w:sz w:val="24"/>
          <w:szCs w:val="24"/>
        </w:rPr>
        <w:t>四、收益分配方案</w:t>
      </w:r>
    </w:p>
    <w:p w14:paraId="2E70401C"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bCs/>
          <w:sz w:val="24"/>
          <w:szCs w:val="24"/>
        </w:rPr>
        <w:t>基金</w:t>
      </w:r>
      <w:r>
        <w:rPr>
          <w:rFonts w:ascii="宋体" w:hAnsi="宋体" w:hint="eastAsia"/>
          <w:bCs/>
          <w:sz w:val="24"/>
          <w:szCs w:val="24"/>
        </w:rPr>
        <w:t>的</w:t>
      </w:r>
      <w:r>
        <w:rPr>
          <w:rFonts w:ascii="宋体" w:hAnsi="宋体"/>
          <w:bCs/>
          <w:sz w:val="24"/>
          <w:szCs w:val="24"/>
        </w:rPr>
        <w:t>收益分配方案中应载明</w:t>
      </w:r>
      <w:r>
        <w:rPr>
          <w:rFonts w:ascii="宋体" w:hAnsi="宋体" w:hint="eastAsia"/>
          <w:bCs/>
          <w:sz w:val="24"/>
          <w:szCs w:val="24"/>
        </w:rPr>
        <w:t>截止收益分配基准日的可供分配利润、</w:t>
      </w:r>
      <w:r>
        <w:rPr>
          <w:rFonts w:ascii="宋体" w:hAnsi="宋体"/>
          <w:bCs/>
          <w:sz w:val="24"/>
          <w:szCs w:val="24"/>
        </w:rPr>
        <w:t>基金收益分配对象、分配时间、分配数额及比例、分配方式等内容。</w:t>
      </w:r>
    </w:p>
    <w:p w14:paraId="23584AF7"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bCs/>
          <w:sz w:val="24"/>
          <w:szCs w:val="24"/>
        </w:rPr>
        <w:t>五、收益分配方案的确定、公告与实施</w:t>
      </w:r>
    </w:p>
    <w:p w14:paraId="0D40A293"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本基金收益分配方案由基金管理人拟定，并由基金托管人复核，基金管理人依照《信息披露办法》的有关规定在规定媒介公告。</w:t>
      </w:r>
    </w:p>
    <w:p w14:paraId="03A9A7C4"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bCs/>
          <w:sz w:val="24"/>
          <w:szCs w:val="24"/>
        </w:rPr>
        <w:lastRenderedPageBreak/>
        <w:t>六、基金收益分配中发生的费用</w:t>
      </w:r>
    </w:p>
    <w:p w14:paraId="1E95ACD3" w14:textId="77777777" w:rsidR="00166BB1" w:rsidRDefault="00166BB1">
      <w:pPr>
        <w:adjustRightInd w:val="0"/>
        <w:snapToGrid w:val="0"/>
        <w:spacing w:line="360" w:lineRule="auto"/>
        <w:ind w:firstLineChars="225" w:firstLine="540"/>
        <w:rPr>
          <w:rFonts w:ascii="宋体" w:hAnsi="宋体"/>
          <w:bCs/>
          <w:sz w:val="24"/>
          <w:szCs w:val="24"/>
        </w:rPr>
      </w:pPr>
      <w:r>
        <w:rPr>
          <w:rFonts w:ascii="黑体" w:hAnsi="黑体" w:hint="eastAsia"/>
          <w:bCs/>
          <w:sz w:val="24"/>
          <w:szCs w:val="24"/>
        </w:rPr>
        <w:t>基金收益分配时所发生的银行转账或其他手续费用由投资人自行承担。当投资人的现金红利小于一定金额，不足以支付银行转账或其他手续费用时，基金登记机构可将该基金份额持有人的现金红利转为相应</w:t>
      </w:r>
      <w:r>
        <w:rPr>
          <w:rFonts w:ascii="黑体" w:hAnsi="黑体"/>
          <w:bCs/>
          <w:sz w:val="24"/>
          <w:szCs w:val="24"/>
        </w:rPr>
        <w:t>类别的</w:t>
      </w:r>
      <w:r>
        <w:rPr>
          <w:rFonts w:ascii="黑体" w:hAnsi="黑体" w:hint="eastAsia"/>
          <w:bCs/>
          <w:sz w:val="24"/>
          <w:szCs w:val="24"/>
        </w:rPr>
        <w:t>基金份额。红利再投资的计算方法，依照登记机构相关业务规则执行。</w:t>
      </w:r>
    </w:p>
    <w:p w14:paraId="6F13CAFB"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七、实施</w:t>
      </w:r>
      <w:proofErr w:type="gramStart"/>
      <w:r>
        <w:rPr>
          <w:rFonts w:ascii="宋体" w:hAnsi="宋体" w:hint="eastAsia"/>
          <w:bCs/>
          <w:sz w:val="24"/>
          <w:szCs w:val="24"/>
        </w:rPr>
        <w:t>侧袋机制</w:t>
      </w:r>
      <w:proofErr w:type="gramEnd"/>
      <w:r>
        <w:rPr>
          <w:rFonts w:ascii="宋体" w:hAnsi="宋体" w:hint="eastAsia"/>
          <w:bCs/>
          <w:sz w:val="24"/>
          <w:szCs w:val="24"/>
        </w:rPr>
        <w:t>期间的收益分配</w:t>
      </w:r>
    </w:p>
    <w:p w14:paraId="655EDF17"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w:t>
      </w:r>
      <w:proofErr w:type="gramStart"/>
      <w:r>
        <w:rPr>
          <w:rFonts w:ascii="宋体" w:hAnsi="宋体" w:hint="eastAsia"/>
          <w:bCs/>
          <w:sz w:val="24"/>
          <w:szCs w:val="24"/>
        </w:rPr>
        <w:t>侧袋账户</w:t>
      </w:r>
      <w:proofErr w:type="gramEnd"/>
      <w:r>
        <w:rPr>
          <w:rFonts w:ascii="宋体" w:hAnsi="宋体" w:hint="eastAsia"/>
          <w:bCs/>
          <w:sz w:val="24"/>
          <w:szCs w:val="24"/>
        </w:rPr>
        <w:t>不进行收益分配，详见招募说明书的规定或相关公告。</w:t>
      </w:r>
    </w:p>
    <w:p w14:paraId="03A16261" w14:textId="77777777" w:rsidR="00166BB1" w:rsidRDefault="00166BB1">
      <w:pPr>
        <w:pStyle w:val="1"/>
        <w:spacing w:before="0" w:after="0"/>
        <w:jc w:val="center"/>
        <w:rPr>
          <w:rFonts w:ascii="Times New Roman"/>
          <w:color w:val="auto"/>
          <w:sz w:val="32"/>
        </w:rPr>
      </w:pPr>
      <w:r>
        <w:rPr>
          <w:rFonts w:ascii="Times New Roman"/>
          <w:b w:val="0"/>
          <w:bCs/>
          <w:color w:val="auto"/>
          <w:kern w:val="44"/>
          <w:sz w:val="21"/>
        </w:rPr>
        <w:br w:type="page"/>
      </w:r>
      <w:bookmarkStart w:id="368" w:name="_Toc93226150"/>
      <w:bookmarkStart w:id="369" w:name="_Toc92662708"/>
      <w:bookmarkStart w:id="370" w:name="_Toc18007"/>
      <w:bookmarkStart w:id="371" w:name="_Toc10894"/>
      <w:bookmarkStart w:id="372" w:name="_Toc89430572"/>
      <w:bookmarkStart w:id="373" w:name="_Toc17499"/>
      <w:bookmarkStart w:id="374" w:name="_Toc139991747"/>
      <w:bookmarkStart w:id="375" w:name="_Toc1043"/>
      <w:bookmarkStart w:id="376" w:name="_Toc28961"/>
      <w:bookmarkStart w:id="377" w:name="_Toc21206"/>
      <w:bookmarkStart w:id="378" w:name="_Toc128310500"/>
      <w:bookmarkStart w:id="379" w:name="_Toc141703897"/>
      <w:bookmarkStart w:id="380" w:name="_Toc31736"/>
      <w:bookmarkStart w:id="381" w:name="_Toc29695"/>
      <w:bookmarkStart w:id="382" w:name="_Toc13255"/>
      <w:bookmarkStart w:id="383" w:name="_Toc23859"/>
      <w:bookmarkStart w:id="384" w:name="_Toc531676884"/>
      <w:r>
        <w:rPr>
          <w:rFonts w:ascii="Times New Roman"/>
          <w:color w:val="auto"/>
          <w:sz w:val="32"/>
        </w:rPr>
        <w:lastRenderedPageBreak/>
        <w:t>第十</w:t>
      </w:r>
      <w:r>
        <w:rPr>
          <w:rFonts w:ascii="Times New Roman" w:hint="eastAsia"/>
          <w:color w:val="auto"/>
          <w:sz w:val="32"/>
        </w:rPr>
        <w:t>七</w:t>
      </w:r>
      <w:r>
        <w:rPr>
          <w:rFonts w:ascii="Times New Roman"/>
          <w:color w:val="auto"/>
          <w:sz w:val="32"/>
        </w:rPr>
        <w:t>部分</w:t>
      </w:r>
      <w:r>
        <w:rPr>
          <w:rFonts w:ascii="Times New Roman" w:hint="eastAsia"/>
          <w:color w:val="auto"/>
          <w:sz w:val="32"/>
        </w:rPr>
        <w:t xml:space="preserve">  </w:t>
      </w:r>
      <w:r>
        <w:rPr>
          <w:rFonts w:ascii="Times New Roman"/>
          <w:color w:val="auto"/>
          <w:sz w:val="32"/>
        </w:rPr>
        <w:t>基金</w:t>
      </w:r>
      <w:bookmarkEnd w:id="368"/>
      <w:bookmarkEnd w:id="369"/>
      <w:r>
        <w:rPr>
          <w:rFonts w:ascii="Times New Roman"/>
          <w:color w:val="auto"/>
          <w:sz w:val="32"/>
        </w:rPr>
        <w:t>的会计与审计</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p>
    <w:p w14:paraId="6147E1BA" w14:textId="77777777" w:rsidR="00166BB1" w:rsidRDefault="00166BB1">
      <w:pPr>
        <w:spacing w:line="360" w:lineRule="auto"/>
        <w:ind w:firstLineChars="200" w:firstLine="480"/>
        <w:rPr>
          <w:bCs/>
          <w:sz w:val="24"/>
        </w:rPr>
      </w:pPr>
    </w:p>
    <w:p w14:paraId="1DAB8925"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一、基金会计政策</w:t>
      </w:r>
    </w:p>
    <w:p w14:paraId="58B90B7C"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1、基金管理人为本基金的基金会计责任方；</w:t>
      </w:r>
    </w:p>
    <w:p w14:paraId="4DFA72FB"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2、基金的会计年度为公历年度的1月1日至12月31日；基金首次募集的会计年度按如下原则：如果基金合同生效少于2个月，可以并入下一个会计年度</w:t>
      </w:r>
      <w:r>
        <w:rPr>
          <w:rFonts w:ascii="宋体" w:hAnsi="宋体" w:hint="eastAsia"/>
          <w:bCs/>
          <w:sz w:val="24"/>
        </w:rPr>
        <w:t>披露</w:t>
      </w:r>
      <w:r>
        <w:rPr>
          <w:rFonts w:ascii="宋体" w:hAnsi="宋体"/>
          <w:bCs/>
          <w:sz w:val="24"/>
        </w:rPr>
        <w:t>；</w:t>
      </w:r>
    </w:p>
    <w:p w14:paraId="1C19E658"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3、基金核算以人民币为记账本位币，以人民币元为记账单位；</w:t>
      </w:r>
    </w:p>
    <w:p w14:paraId="28A68BAC"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4、会计制度执行国家有关会计制度；</w:t>
      </w:r>
    </w:p>
    <w:p w14:paraId="184906D3"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5、本基金独立建账、独立核算；</w:t>
      </w:r>
    </w:p>
    <w:p w14:paraId="44978F1D"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6、基金管理人及基金托管人各自保留完整的会计账目、凭证并进行日常的会计核算，按照有关规定编制基金会计报表；</w:t>
      </w:r>
    </w:p>
    <w:p w14:paraId="055A29CD"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7、基金托管人每月与基金管理人就基金的会计核算、报表编制等进行核对并以书面方式确认。</w:t>
      </w:r>
    </w:p>
    <w:p w14:paraId="6F023DEA"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法律法规或监管部门对基金会计政策另有规定的，从其规定。</w:t>
      </w:r>
    </w:p>
    <w:p w14:paraId="440E2CCC"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二、基金的年度审计</w:t>
      </w:r>
    </w:p>
    <w:p w14:paraId="6ED97270"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1、基金管理人聘请与基金管理人、基金托管人相互独立的符合《中华人民共和国证券法》规定的会计师事务所及其注册会计师对本基金的年度财务报表进行审计。</w:t>
      </w:r>
    </w:p>
    <w:p w14:paraId="270814D8"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2、会计师事务所更换经办注册会计师，应事先征得基金管理人同意。</w:t>
      </w:r>
    </w:p>
    <w:p w14:paraId="7C147A82" w14:textId="77777777" w:rsidR="00166BB1" w:rsidRDefault="00166BB1">
      <w:pPr>
        <w:adjustRightInd w:val="0"/>
        <w:snapToGrid w:val="0"/>
        <w:spacing w:line="360" w:lineRule="auto"/>
        <w:ind w:firstLineChars="200" w:firstLine="480"/>
        <w:rPr>
          <w:bCs/>
          <w:sz w:val="24"/>
        </w:rPr>
      </w:pPr>
      <w:r>
        <w:rPr>
          <w:rFonts w:ascii="宋体" w:hAnsi="宋体"/>
          <w:bCs/>
          <w:sz w:val="24"/>
        </w:rPr>
        <w:t>3、</w:t>
      </w:r>
      <w:bookmarkStart w:id="385" w:name="_Hlt4221115"/>
      <w:bookmarkEnd w:id="385"/>
      <w:r>
        <w:rPr>
          <w:rFonts w:ascii="宋体" w:hAnsi="宋体"/>
          <w:bCs/>
          <w:sz w:val="24"/>
        </w:rPr>
        <w:t>基金管理人认为有充足理由更换会计师事务所，须通报基金托管人。更换会计师事务所需</w:t>
      </w:r>
      <w:r>
        <w:rPr>
          <w:rFonts w:ascii="宋体" w:hAnsi="宋体" w:hint="eastAsia"/>
          <w:bCs/>
          <w:sz w:val="24"/>
        </w:rPr>
        <w:t>按照《信息披露办法》的有关规定在规定媒介公告</w:t>
      </w:r>
      <w:r>
        <w:rPr>
          <w:rFonts w:ascii="宋体" w:hAnsi="宋体"/>
          <w:bCs/>
          <w:sz w:val="24"/>
        </w:rPr>
        <w:t>。</w:t>
      </w:r>
    </w:p>
    <w:p w14:paraId="38ACB77A" w14:textId="77777777" w:rsidR="00166BB1" w:rsidRDefault="00166BB1">
      <w:pPr>
        <w:pStyle w:val="1"/>
        <w:spacing w:before="0" w:after="0"/>
        <w:jc w:val="center"/>
        <w:rPr>
          <w:rFonts w:ascii="Times New Roman"/>
          <w:color w:val="auto"/>
          <w:sz w:val="32"/>
        </w:rPr>
      </w:pPr>
      <w:r>
        <w:rPr>
          <w:rFonts w:ascii="Times New Roman"/>
          <w:b w:val="0"/>
          <w:bCs/>
          <w:color w:val="auto"/>
        </w:rPr>
        <w:br w:type="page"/>
      </w:r>
      <w:bookmarkStart w:id="386" w:name="_Toc93226151"/>
      <w:bookmarkStart w:id="387" w:name="_Toc92662709"/>
      <w:bookmarkStart w:id="388" w:name="_Toc128310501"/>
      <w:bookmarkStart w:id="389" w:name="_Toc141703898"/>
      <w:bookmarkStart w:id="390" w:name="_Toc1173"/>
      <w:bookmarkStart w:id="391" w:name="_Toc1421"/>
      <w:bookmarkStart w:id="392" w:name="_Toc89430573"/>
      <w:bookmarkStart w:id="393" w:name="_Toc8512"/>
      <w:bookmarkStart w:id="394" w:name="_Toc139991748"/>
      <w:bookmarkStart w:id="395" w:name="_Toc3056"/>
      <w:bookmarkStart w:id="396" w:name="_Toc12028"/>
      <w:bookmarkStart w:id="397" w:name="_Toc11049"/>
      <w:bookmarkStart w:id="398" w:name="_Toc531676885"/>
      <w:bookmarkStart w:id="399" w:name="_Toc29289"/>
      <w:bookmarkStart w:id="400" w:name="_Toc193"/>
      <w:bookmarkStart w:id="401" w:name="_Toc31866"/>
      <w:bookmarkStart w:id="402" w:name="_Toc11802"/>
      <w:r>
        <w:rPr>
          <w:rFonts w:ascii="Times New Roman"/>
          <w:color w:val="auto"/>
          <w:sz w:val="32"/>
        </w:rPr>
        <w:lastRenderedPageBreak/>
        <w:t>第十</w:t>
      </w:r>
      <w:r>
        <w:rPr>
          <w:rFonts w:ascii="Times New Roman" w:hint="eastAsia"/>
          <w:color w:val="auto"/>
          <w:sz w:val="32"/>
        </w:rPr>
        <w:t>八</w:t>
      </w:r>
      <w:r>
        <w:rPr>
          <w:rFonts w:ascii="Times New Roman"/>
          <w:color w:val="auto"/>
          <w:sz w:val="32"/>
        </w:rPr>
        <w:t>部分</w:t>
      </w:r>
      <w:r>
        <w:rPr>
          <w:rFonts w:ascii="Times New Roman" w:hint="eastAsia"/>
          <w:color w:val="auto"/>
          <w:sz w:val="32"/>
        </w:rPr>
        <w:t xml:space="preserve">  </w:t>
      </w:r>
      <w:r>
        <w:rPr>
          <w:rFonts w:ascii="Times New Roman"/>
          <w:color w:val="auto"/>
          <w:sz w:val="32"/>
        </w:rPr>
        <w:t>基金</w:t>
      </w:r>
      <w:bookmarkEnd w:id="386"/>
      <w:bookmarkEnd w:id="387"/>
      <w:r>
        <w:rPr>
          <w:rFonts w:ascii="Times New Roman"/>
          <w:color w:val="auto"/>
          <w:sz w:val="32"/>
        </w:rPr>
        <w:t>的信息披露</w:t>
      </w:r>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14:paraId="55078CAD" w14:textId="77777777" w:rsidR="00166BB1" w:rsidRDefault="00166BB1">
      <w:pPr>
        <w:spacing w:line="360" w:lineRule="auto"/>
        <w:ind w:firstLineChars="200" w:firstLine="480"/>
        <w:rPr>
          <w:bCs/>
          <w:sz w:val="24"/>
        </w:rPr>
      </w:pPr>
    </w:p>
    <w:p w14:paraId="1DAC9C0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本基金的信息披露应符合《基金法》、《运作办法》、《信息披露办法》、《流动性风险管理规定》、基金合同及其他有关规定。相关法律法规关于信息披露的披露方式、登载媒介、报备方式等规定发生变化时，本基金从其最新规定。</w:t>
      </w:r>
    </w:p>
    <w:p w14:paraId="01EA372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二、信息披露义务人</w:t>
      </w:r>
    </w:p>
    <w:p w14:paraId="115168C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本基金信息披露义务人包括基金管理人、基金托管人、召集基金份额持有人大会的基金份额持有人等法律、行政法规和中国证监会规定的自然人、法人和非法人组织。</w:t>
      </w:r>
    </w:p>
    <w:p w14:paraId="7B2E06F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本基金信息披露义务人以保护基金份额持有人利益为根本出发点，按照法律法规和中国证监会的规定披露基金信息，并保证所披露信息的真实性、准确性、完整性、及时性、简明性和易得性。</w:t>
      </w:r>
    </w:p>
    <w:p w14:paraId="2FCF278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信息披露义务人应当在中国证监会规定时间内，将应予披露的基金信息通过符合中国证监会规定条件的全国性报刊（以下简称“规定报刊”）及《信息披露办法》规定的互联网网站（以下简称“规定网站”）等媒介披露，并保证基金投资人能够按照基金合同约定的时间和方式查阅或者复制公开披露的信息资料。</w:t>
      </w:r>
    </w:p>
    <w:p w14:paraId="392D07A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三、本基金信息披露义务人承诺公开披露的基金信息，不得有下列行为：</w:t>
      </w:r>
    </w:p>
    <w:p w14:paraId="0F8AF9F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1、虚假记载、误导性陈述或者重大遗漏；</w:t>
      </w:r>
    </w:p>
    <w:p w14:paraId="61A54FD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2、对证券投资业绩进行预测；</w:t>
      </w:r>
    </w:p>
    <w:p w14:paraId="1DF4479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3、违规承诺收益或者承担损失；</w:t>
      </w:r>
    </w:p>
    <w:p w14:paraId="3F6B41F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4、诋毁其他基金管理人、基金托管人或者销售机构；</w:t>
      </w:r>
    </w:p>
    <w:p w14:paraId="10CDD5C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5、登载任何自然人、法人和非法人组织的祝贺性、恭维性或推荐性的文字；</w:t>
      </w:r>
    </w:p>
    <w:p w14:paraId="4390011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6、中国证监会禁止的其他行为。</w:t>
      </w:r>
    </w:p>
    <w:p w14:paraId="0686FDF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四、本基金公开披露的信息应采用中文文本。如同时采用外文文本的，基金信息披露义务人应保证不同文本的内容一致。不同文本之间发生歧义的，以中文文本为准。</w:t>
      </w:r>
    </w:p>
    <w:p w14:paraId="03C8C29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本基金公开披露的信息采用阿拉伯数字；除特别说明外，货币单位为人民币元。</w:t>
      </w:r>
    </w:p>
    <w:p w14:paraId="47DD217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五、公开披露的基金信息</w:t>
      </w:r>
    </w:p>
    <w:p w14:paraId="0959EEE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公开披露的基金信息包括：</w:t>
      </w:r>
    </w:p>
    <w:p w14:paraId="5A2F0CD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（一）基金招募说明书、基金合同、基金托管协议、基金产品资料概要</w:t>
      </w:r>
    </w:p>
    <w:p w14:paraId="5A0CE77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1、基金合同是界定基金合同当事人的各项权利、义务关系，明确基金份额持有人大会召开的规则及具体程序，说明基金产品的特性等涉及基金投资人重大利益的事项的法律文件。</w:t>
      </w:r>
    </w:p>
    <w:p w14:paraId="3C191CD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招募说明书应当最大限度地披露影响基金投资人决策的全部事项，说明基金认购、申购和赎回安排、基金投资、基金产品特性、风险揭示、信息披露及基金份额持有人服务等内容。基金合同生效后，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p>
    <w:p w14:paraId="2A73748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3、基金托管协议是界定基金托管人和基金管理人在基金财产保管及基金运作监督等活动中的权利、义务关系的法律文件。</w:t>
      </w:r>
    </w:p>
    <w:p w14:paraId="2A4A9A3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销售机构网站或营业网点；基金产品资料概要其他信息发生变更的，基金管理人至少每年更新一次。基金终止运作的，基金管理人不再更新基金产品资料概要。</w:t>
      </w:r>
    </w:p>
    <w:p w14:paraId="0B0AFFC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募集申请经中国证监会注册后，基金管理人应当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销售机构网站或营业网点；基金托管人应当同时将基金合同、基金托管协议登载在规定网站上。</w:t>
      </w:r>
    </w:p>
    <w:p w14:paraId="4003604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（二）基金份额发售公告</w:t>
      </w:r>
    </w:p>
    <w:p w14:paraId="5C91DF6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基金管理人应当就基金份额发售的具体事宜编制基金份额发售公告，并在披露招募说明书的当日登载于规定媒介上。</w:t>
      </w:r>
    </w:p>
    <w:p w14:paraId="6334818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（三）《基金合同》生效公告</w:t>
      </w:r>
    </w:p>
    <w:p w14:paraId="705A15B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基金管理人应当在收到中国证监会确认文件的次日在规定媒介上登载《基金合同》生效公告。</w:t>
      </w:r>
    </w:p>
    <w:p w14:paraId="4AFF3EF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（四）基金净值信息</w:t>
      </w:r>
    </w:p>
    <w:p w14:paraId="3D1F090E" w14:textId="77777777" w:rsidR="00166BB1" w:rsidRDefault="00166BB1">
      <w:pPr>
        <w:adjustRightInd w:val="0"/>
        <w:snapToGrid w:val="0"/>
        <w:spacing w:line="360" w:lineRule="auto"/>
        <w:ind w:firstLineChars="200" w:firstLine="480"/>
        <w:rPr>
          <w:rFonts w:ascii="黑体" w:hAnsi="黑体"/>
          <w:bCs/>
          <w:sz w:val="24"/>
          <w:szCs w:val="24"/>
        </w:rPr>
      </w:pPr>
      <w:r>
        <w:rPr>
          <w:rFonts w:ascii="黑体" w:hAnsi="黑体" w:hint="eastAsia"/>
          <w:bCs/>
          <w:sz w:val="24"/>
          <w:szCs w:val="24"/>
        </w:rPr>
        <w:t>基金合同生效后，在开始办理基金份额申购或者赎回前，基金管理人应当至少每周在规定网站披露一次各类基金份额的基金份额净值和基金份额累计净值。</w:t>
      </w:r>
    </w:p>
    <w:p w14:paraId="6AAB45EF" w14:textId="77777777" w:rsidR="00166BB1" w:rsidRDefault="00166BB1">
      <w:pPr>
        <w:adjustRightInd w:val="0"/>
        <w:snapToGrid w:val="0"/>
        <w:spacing w:line="360" w:lineRule="auto"/>
        <w:ind w:firstLineChars="200" w:firstLine="480"/>
        <w:rPr>
          <w:rFonts w:ascii="黑体" w:hAnsi="黑体"/>
          <w:bCs/>
          <w:sz w:val="24"/>
          <w:szCs w:val="24"/>
        </w:rPr>
      </w:pPr>
      <w:r>
        <w:rPr>
          <w:rFonts w:ascii="黑体" w:hAnsi="黑体" w:hint="eastAsia"/>
          <w:bCs/>
          <w:sz w:val="24"/>
          <w:szCs w:val="24"/>
        </w:rPr>
        <w:t>在本基金开始办理基金份额申购或者赎回后，基金管理人应在不晚于每个开放日的次日，通过规定网站、销售机构网站或者营业网点披露开放日的各类基金份额的基金份额净值和基金份额累计净值。</w:t>
      </w:r>
    </w:p>
    <w:p w14:paraId="47A6D896" w14:textId="77777777" w:rsidR="00166BB1" w:rsidRDefault="00166BB1">
      <w:pPr>
        <w:adjustRightInd w:val="0"/>
        <w:snapToGrid w:val="0"/>
        <w:spacing w:line="360" w:lineRule="auto"/>
        <w:ind w:firstLineChars="200" w:firstLine="480"/>
        <w:rPr>
          <w:rFonts w:ascii="黑体" w:hAnsi="黑体"/>
          <w:bCs/>
          <w:sz w:val="24"/>
          <w:szCs w:val="24"/>
        </w:rPr>
      </w:pPr>
      <w:r>
        <w:rPr>
          <w:rFonts w:ascii="黑体" w:hAnsi="黑体" w:hint="eastAsia"/>
          <w:bCs/>
          <w:sz w:val="24"/>
          <w:szCs w:val="24"/>
        </w:rPr>
        <w:t>基金管理人应当在不晚于半年度和年度最后一日的次日，在规定网站披露半年度和年度最后一日的各类基金份额的基金份额净值和基金份额累计净值。</w:t>
      </w:r>
    </w:p>
    <w:p w14:paraId="66CFC88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（五）基金份额申购、赎回价格</w:t>
      </w:r>
    </w:p>
    <w:p w14:paraId="4C4C112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基金管理人应当在基金合同、招募说明书等信息披露文件上载</w:t>
      </w:r>
      <w:proofErr w:type="gramStart"/>
      <w:r>
        <w:rPr>
          <w:rFonts w:ascii="宋体" w:hAnsi="宋体" w:hint="eastAsia"/>
          <w:bCs/>
          <w:sz w:val="24"/>
          <w:szCs w:val="24"/>
        </w:rPr>
        <w:t>明基金</w:t>
      </w:r>
      <w:proofErr w:type="gramEnd"/>
      <w:r>
        <w:rPr>
          <w:rFonts w:ascii="宋体" w:hAnsi="宋体" w:hint="eastAsia"/>
          <w:bCs/>
          <w:sz w:val="24"/>
          <w:szCs w:val="24"/>
        </w:rPr>
        <w:t>份额申购、赎回价格的计算方式及有关申购、赎回费率，并保证投资人能够在销售机构网站或营业网点查阅或者复制前述信息资料。</w:t>
      </w:r>
    </w:p>
    <w:p w14:paraId="1D3AA43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（六）基金定期报告，包括基金年度报告、基金中期报告和基金季度报告</w:t>
      </w:r>
    </w:p>
    <w:p w14:paraId="6DB9A6E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基金管理人应当在每年结束之日起三个月内，编制完成基金年度报告，将年度报告登载在规定网站上，并将年度报告提示性公告登载在规定报刊上。基金年度报告中的财务会计报告应当</w:t>
      </w:r>
      <w:proofErr w:type="gramStart"/>
      <w:r>
        <w:rPr>
          <w:rFonts w:ascii="宋体" w:hAnsi="宋体" w:hint="eastAsia"/>
          <w:bCs/>
          <w:sz w:val="24"/>
          <w:szCs w:val="24"/>
        </w:rPr>
        <w:t>经符合</w:t>
      </w:r>
      <w:proofErr w:type="gramEnd"/>
      <w:r>
        <w:rPr>
          <w:rFonts w:ascii="宋体" w:hAnsi="宋体" w:hint="eastAsia"/>
          <w:bCs/>
          <w:sz w:val="24"/>
          <w:szCs w:val="24"/>
        </w:rPr>
        <w:t>《中华人民共和国证券法》规定的会计师事务所审计。</w:t>
      </w:r>
    </w:p>
    <w:p w14:paraId="06456B4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基金管理人应当在上半年结束之日起两个月内，编制完成基金中期报告，将中期报告登载在规定网站上，并将中期报告提示性公告登载在规定报刊上。</w:t>
      </w:r>
    </w:p>
    <w:p w14:paraId="3031377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基金管理人应当在季度结束之日起15个工作日内，编制完成基金季度报告，将季度报告登载在规定网站上，并将季度报告提示性公告登载在规定报刊上。</w:t>
      </w:r>
    </w:p>
    <w:p w14:paraId="6B29C4A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基金合同生效不足2个月的，基金管理人可以不编制当期季度报告、中期报告或者年度报告。</w:t>
      </w:r>
    </w:p>
    <w:p w14:paraId="3C6AB84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如报告期内出现单一投资人持有基金份额达到或超过基金总份额20%的情形，为保障其他投资人的权益，基金管理人至少应当在定期报告“影响投资者决策的其他重要信息”项下披露该投资人的类别、报告期末持有份额及占比、报告期内持有份额变化情况及本基金的特有风险，中国证监会认定的特殊情形除外。</w:t>
      </w:r>
    </w:p>
    <w:p w14:paraId="652D364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基金管理人应当在基金年度报告和中期报告中披露基金组合资产情况及其</w:t>
      </w:r>
      <w:r>
        <w:rPr>
          <w:rFonts w:ascii="宋体" w:hAnsi="宋体" w:hint="eastAsia"/>
          <w:bCs/>
          <w:sz w:val="24"/>
          <w:szCs w:val="24"/>
        </w:rPr>
        <w:lastRenderedPageBreak/>
        <w:t>流动性风险分析等。</w:t>
      </w:r>
    </w:p>
    <w:p w14:paraId="1287B5C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（七）临时报告</w:t>
      </w:r>
    </w:p>
    <w:p w14:paraId="7B56774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本基金发生重大事件，有关信息披露义务人应依照《信息披露办法》的有关规定编制临时报告书，并登载在规定报刊和规定网站上。</w:t>
      </w:r>
    </w:p>
    <w:p w14:paraId="3F2AB7A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前款所称重大事件，是指可能对基金份额持有人权益或者基金份额的价格产生重大影响的下列事件：</w:t>
      </w:r>
    </w:p>
    <w:p w14:paraId="64D4925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1、基金份额持有人大会的召开及决定的事项；</w:t>
      </w:r>
    </w:p>
    <w:p w14:paraId="49FF7D3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2、基金合同终止、基金清算；</w:t>
      </w:r>
    </w:p>
    <w:p w14:paraId="697427E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3、转换基金运作方式、基金合并；</w:t>
      </w:r>
    </w:p>
    <w:p w14:paraId="282BE99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4、更换基金管理人、基金托管人、基金份额登记机构，基金改聘会计师事务所；</w:t>
      </w:r>
    </w:p>
    <w:p w14:paraId="37AC23F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5、基金管理人委托基金服务机构代为办理基金的份额登记、核算、估值等事项，基金托管人委托基金服务机构代为办理基金的核算、估值、复核等事项；</w:t>
      </w:r>
    </w:p>
    <w:p w14:paraId="61EB73D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6、基金管理人、基金托管人的法定名称、住所发生变更；</w:t>
      </w:r>
    </w:p>
    <w:p w14:paraId="20C9090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7、基金管理人变更持有百分之五以上股权的股东、变更基金管理人的实际控制人；</w:t>
      </w:r>
    </w:p>
    <w:p w14:paraId="5B6B40C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8、基金募集期延长或提前结束募集；</w:t>
      </w:r>
    </w:p>
    <w:p w14:paraId="3CA1153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9、基金管理人的高级管理人员、基金经理和基金托管人专门基金托管部门负责人发生变动；</w:t>
      </w:r>
    </w:p>
    <w:p w14:paraId="0AB6DF2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10、基金管理人的董事在最近12个月内变更超过百分之五十，基金管理人、基金托管人专门基金托管部门的主要业务人员在最近12个月内变动超过百分之三十；</w:t>
      </w:r>
    </w:p>
    <w:p w14:paraId="249BB9A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11、涉及基金财产、基金管理业务、基金托管业务的诉讼或仲裁；</w:t>
      </w:r>
    </w:p>
    <w:p w14:paraId="052E176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12、基金管理人或其高级管理人员、基金经理因基金管理业务相关行为受到重大行政处罚、刑事处罚，基金托管人或其专门基金托管部门负责人因基金托管业务相关行为受到重大行政处罚、刑事处罚；</w:t>
      </w:r>
    </w:p>
    <w:p w14:paraId="5443CAA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基金管理人运用基金财产买卖基金管理人、基金托管人及其控股股东、实际控制人或者与其有重大利害关系的公司发行的证券或者承销期内承销的证券，或者从事其他重大关联交易事项，但投资于目标ETF及中国证监会另有规定的除外；</w:t>
      </w:r>
    </w:p>
    <w:p w14:paraId="47C2C13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14、基金收益分配事项；</w:t>
      </w:r>
    </w:p>
    <w:p w14:paraId="157B0C3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15、管理费、托管费、销售服务费、申购费、赎回费等费用计提标准、计提方式和费率发生变更；</w:t>
      </w:r>
    </w:p>
    <w:p w14:paraId="2C90340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16、任一类别基金份额净值估值错误达该类基金份额净值百分之零点五；</w:t>
      </w:r>
    </w:p>
    <w:p w14:paraId="3329DF0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17、本基金开始办理申购、赎回；</w:t>
      </w:r>
    </w:p>
    <w:p w14:paraId="685D85C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18、本基金发生巨额赎回并延期办理；</w:t>
      </w:r>
    </w:p>
    <w:p w14:paraId="66E2F22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19、本基金连续发生巨额赎回并暂停接受赎回申请或延缓支付赎回款项；</w:t>
      </w:r>
    </w:p>
    <w:p w14:paraId="2B706C2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20、本基金暂停接受申购、赎回申请或重新接受申购、赎回申请；</w:t>
      </w:r>
    </w:p>
    <w:p w14:paraId="12F0FD0A" w14:textId="77777777" w:rsidR="00166BB1" w:rsidRDefault="00166BB1">
      <w:pPr>
        <w:snapToGrid w:val="0"/>
        <w:spacing w:line="360" w:lineRule="auto"/>
        <w:ind w:firstLine="480"/>
        <w:rPr>
          <w:rFonts w:ascii="宋体" w:hAnsi="宋体"/>
          <w:bCs/>
          <w:sz w:val="24"/>
          <w:szCs w:val="24"/>
        </w:rPr>
      </w:pPr>
      <w:r>
        <w:rPr>
          <w:rFonts w:ascii="宋体" w:hAnsi="宋体"/>
          <w:sz w:val="24"/>
          <w:szCs w:val="24"/>
        </w:rPr>
        <w:t>21</w:t>
      </w:r>
      <w:r>
        <w:rPr>
          <w:rFonts w:ascii="宋体" w:hAnsi="宋体" w:hint="eastAsia"/>
          <w:sz w:val="24"/>
          <w:szCs w:val="24"/>
        </w:rPr>
        <w:t>、</w:t>
      </w:r>
      <w:r>
        <w:rPr>
          <w:rFonts w:ascii="宋体" w:hAnsi="宋体" w:hint="eastAsia"/>
          <w:bCs/>
          <w:sz w:val="24"/>
          <w:szCs w:val="24"/>
        </w:rPr>
        <w:t>目标ETF变更或标的指数变更；</w:t>
      </w:r>
    </w:p>
    <w:p w14:paraId="4228345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2</w:t>
      </w:r>
      <w:r>
        <w:rPr>
          <w:rFonts w:ascii="宋体" w:hAnsi="宋体" w:hint="eastAsia"/>
          <w:bCs/>
          <w:sz w:val="24"/>
          <w:szCs w:val="24"/>
        </w:rPr>
        <w:t>、基金推出新业务或服务；</w:t>
      </w:r>
    </w:p>
    <w:p w14:paraId="1B6BA61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3</w:t>
      </w:r>
      <w:r>
        <w:rPr>
          <w:rFonts w:ascii="宋体" w:hAnsi="宋体" w:hint="eastAsia"/>
          <w:bCs/>
          <w:sz w:val="24"/>
          <w:szCs w:val="24"/>
        </w:rPr>
        <w:t>、调整基金份额类别的设置；</w:t>
      </w:r>
    </w:p>
    <w:p w14:paraId="0BCEE58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4</w:t>
      </w:r>
      <w:r>
        <w:rPr>
          <w:rFonts w:ascii="宋体" w:hAnsi="宋体" w:hint="eastAsia"/>
          <w:bCs/>
          <w:sz w:val="24"/>
          <w:szCs w:val="24"/>
        </w:rPr>
        <w:t>、发生涉及基金申购、赎回事项调整或潜在影响投资者赎回等重大事项时；</w:t>
      </w:r>
    </w:p>
    <w:p w14:paraId="1B48D9A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5</w:t>
      </w:r>
      <w:r>
        <w:rPr>
          <w:rFonts w:ascii="宋体" w:hAnsi="宋体" w:hint="eastAsia"/>
          <w:bCs/>
          <w:sz w:val="24"/>
          <w:szCs w:val="24"/>
        </w:rPr>
        <w:t>、基金管理人采用摆动定价机制进行估值；</w:t>
      </w:r>
    </w:p>
    <w:p w14:paraId="54D241B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26、基金信息披露义务人认为可能对基金份额持有人权益或者基金份额的价格产生重大影响的其他事项或中国证监会规定或基金合同约定的其他事项。</w:t>
      </w:r>
    </w:p>
    <w:p w14:paraId="2130F5B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（八）澄清公告</w:t>
      </w:r>
    </w:p>
    <w:p w14:paraId="6E4EF8D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基金合同存续期限内，任何公共媒介中出现的或者在市场上流传的消息可能对基金份额价格产生误导性影响或者引起较大波动，以及可能损害基金份额持有人权益的，相关信息披露义务人知悉后应当立即对该消息进行公开澄清。</w:t>
      </w:r>
    </w:p>
    <w:p w14:paraId="66AE4DD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（九）清算报告</w:t>
      </w:r>
    </w:p>
    <w:p w14:paraId="47EE02C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基金合同终止的，基金管理人应当依法组织基金财产清算小组对基金财产进行清算并</w:t>
      </w:r>
      <w:proofErr w:type="gramStart"/>
      <w:r>
        <w:rPr>
          <w:rFonts w:ascii="宋体" w:hAnsi="宋体" w:hint="eastAsia"/>
          <w:bCs/>
          <w:sz w:val="24"/>
          <w:szCs w:val="24"/>
        </w:rPr>
        <w:t>作出</w:t>
      </w:r>
      <w:proofErr w:type="gramEnd"/>
      <w:r>
        <w:rPr>
          <w:rFonts w:ascii="宋体" w:hAnsi="宋体" w:hint="eastAsia"/>
          <w:bCs/>
          <w:sz w:val="24"/>
          <w:szCs w:val="24"/>
        </w:rPr>
        <w:t>清算报告。基金财产清算小组应当将清算报告登载在规定网站上，并将清算报告提示性公告登载在规定报刊上。</w:t>
      </w:r>
    </w:p>
    <w:p w14:paraId="10EE8BC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（十）基金份额持有人大会决议</w:t>
      </w:r>
    </w:p>
    <w:p w14:paraId="2A751D3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基金份额持有人大会决定的事项，应当依法报中国证监会备案，并予以公告。</w:t>
      </w:r>
    </w:p>
    <w:p w14:paraId="69EDE11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（十一）投资资产支持证券相关公告</w:t>
      </w:r>
    </w:p>
    <w:p w14:paraId="65E094E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资产支持证券的，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w:t>
      </w:r>
      <w:r>
        <w:rPr>
          <w:rFonts w:ascii="宋体" w:hAnsi="宋体" w:hint="eastAsia"/>
          <w:bCs/>
          <w:sz w:val="24"/>
          <w:szCs w:val="24"/>
        </w:rPr>
        <w:lastRenderedPageBreak/>
        <w:t>净资产比例大小排序的前10名资产支持证券明细。若中国证监会或其他相关监管机构出台新规定，则按新规定执行。</w:t>
      </w:r>
    </w:p>
    <w:p w14:paraId="73BD5D8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（十二）投资国债期货相关公告</w:t>
      </w:r>
    </w:p>
    <w:p w14:paraId="42BAB8D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国债期货的，基金管理人应在季度报告、中期报告、年度报告等定期报告和招募说明书（更新）等文件中披露国债期货交易情况，包括交易政策、持仓情况、损益情况、风险指标等，并充分揭示国债期货交易对基金总体风险的影响以及是否符合既定的交易政策和交易目标等。</w:t>
      </w:r>
    </w:p>
    <w:p w14:paraId="10513EF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（十三）投资股指期货相关公告</w:t>
      </w:r>
    </w:p>
    <w:p w14:paraId="17E921B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股指期货的，在季度报告、中期报告、年度报告等定期报告和招募说明书（更新）等文件中披露股指期货交易情况，包括交易政策、持仓情况、损益情况、风险指标等，并充分揭示股指期货交易对基金总体风险的影响以及是否符合既定的交易政策和交易目标等。</w:t>
      </w:r>
    </w:p>
    <w:p w14:paraId="65BEFB63" w14:textId="77777777" w:rsidR="00166BB1" w:rsidRDefault="00166BB1">
      <w:pPr>
        <w:snapToGrid w:val="0"/>
        <w:spacing w:line="360" w:lineRule="auto"/>
        <w:ind w:firstLine="480"/>
        <w:rPr>
          <w:rFonts w:ascii="宋体" w:hAnsi="宋体"/>
          <w:bCs/>
          <w:sz w:val="24"/>
          <w:szCs w:val="24"/>
        </w:rPr>
      </w:pPr>
      <w:r>
        <w:rPr>
          <w:rFonts w:ascii="黑体" w:hAnsi="黑体" w:hint="eastAsia"/>
          <w:bCs/>
          <w:sz w:val="24"/>
          <w:szCs w:val="24"/>
        </w:rPr>
        <w:t>（十四）</w:t>
      </w:r>
      <w:bookmarkStart w:id="403" w:name="_Hlk191807907"/>
      <w:r>
        <w:rPr>
          <w:rFonts w:ascii="宋体" w:hAnsi="宋体" w:hint="eastAsia"/>
          <w:bCs/>
          <w:sz w:val="24"/>
          <w:szCs w:val="24"/>
        </w:rPr>
        <w:t>投资目标ETF</w:t>
      </w:r>
      <w:r>
        <w:rPr>
          <w:rFonts w:ascii="宋体" w:hAnsi="宋体"/>
          <w:bCs/>
          <w:sz w:val="24"/>
          <w:szCs w:val="24"/>
        </w:rPr>
        <w:t>的信息披露</w:t>
      </w:r>
      <w:bookmarkEnd w:id="403"/>
    </w:p>
    <w:p w14:paraId="6ABEEE9D" w14:textId="77777777" w:rsidR="00166BB1" w:rsidRDefault="00166BB1">
      <w:pPr>
        <w:snapToGrid w:val="0"/>
        <w:spacing w:line="360" w:lineRule="auto"/>
        <w:ind w:firstLine="480"/>
        <w:rPr>
          <w:rFonts w:ascii="宋体" w:hAnsi="宋体"/>
          <w:bCs/>
          <w:sz w:val="24"/>
          <w:szCs w:val="24"/>
        </w:rPr>
      </w:pPr>
      <w:r>
        <w:rPr>
          <w:rFonts w:ascii="宋体" w:hAnsi="宋体" w:hint="eastAsia"/>
          <w:bCs/>
          <w:sz w:val="24"/>
          <w:szCs w:val="24"/>
        </w:rPr>
        <w:t>基金管理人</w:t>
      </w:r>
      <w:r>
        <w:rPr>
          <w:rFonts w:ascii="宋体" w:hAnsi="宋体"/>
          <w:bCs/>
          <w:sz w:val="24"/>
          <w:szCs w:val="24"/>
        </w:rPr>
        <w:t>在招募说明书及定期报告等文件中应当设立专门章节披露</w:t>
      </w:r>
      <w:r>
        <w:rPr>
          <w:rFonts w:ascii="宋体" w:hAnsi="宋体" w:hint="eastAsia"/>
          <w:bCs/>
          <w:sz w:val="24"/>
          <w:szCs w:val="24"/>
        </w:rPr>
        <w:t>目标ETF以下</w:t>
      </w:r>
      <w:r>
        <w:rPr>
          <w:rFonts w:ascii="宋体" w:hAnsi="宋体"/>
          <w:bCs/>
          <w:sz w:val="24"/>
          <w:szCs w:val="24"/>
        </w:rPr>
        <w:t>情况，并</w:t>
      </w:r>
      <w:r>
        <w:rPr>
          <w:rFonts w:ascii="宋体" w:hAnsi="宋体" w:hint="eastAsia"/>
          <w:bCs/>
          <w:sz w:val="24"/>
          <w:szCs w:val="24"/>
        </w:rPr>
        <w:t>揭示</w:t>
      </w:r>
      <w:r>
        <w:rPr>
          <w:rFonts w:ascii="宋体" w:hAnsi="宋体"/>
          <w:bCs/>
          <w:sz w:val="24"/>
          <w:szCs w:val="24"/>
        </w:rPr>
        <w:t>相关风险。</w:t>
      </w:r>
    </w:p>
    <w:p w14:paraId="39D4DB39" w14:textId="77777777" w:rsidR="00166BB1" w:rsidRDefault="00166BB1">
      <w:pPr>
        <w:snapToGrid w:val="0"/>
        <w:spacing w:line="360" w:lineRule="auto"/>
        <w:ind w:firstLine="480"/>
        <w:rPr>
          <w:rFonts w:ascii="宋体" w:hAnsi="宋体"/>
          <w:bCs/>
          <w:sz w:val="24"/>
          <w:szCs w:val="24"/>
        </w:rPr>
      </w:pPr>
      <w:r>
        <w:rPr>
          <w:rFonts w:ascii="宋体" w:hAnsi="宋体" w:hint="eastAsia"/>
          <w:bCs/>
          <w:sz w:val="24"/>
          <w:szCs w:val="24"/>
        </w:rPr>
        <w:t>1、投资</w:t>
      </w:r>
      <w:r>
        <w:rPr>
          <w:rFonts w:ascii="宋体" w:hAnsi="宋体"/>
          <w:bCs/>
          <w:sz w:val="24"/>
          <w:szCs w:val="24"/>
        </w:rPr>
        <w:t>策略、持仓情况、损益情况</w:t>
      </w:r>
      <w:r>
        <w:rPr>
          <w:rFonts w:ascii="宋体" w:hAnsi="宋体" w:hint="eastAsia"/>
          <w:bCs/>
          <w:sz w:val="24"/>
          <w:szCs w:val="24"/>
        </w:rPr>
        <w:t>、</w:t>
      </w:r>
      <w:r>
        <w:rPr>
          <w:rFonts w:ascii="宋体" w:hAnsi="宋体"/>
          <w:bCs/>
          <w:sz w:val="24"/>
          <w:szCs w:val="24"/>
        </w:rPr>
        <w:t>净值披露时间等。</w:t>
      </w:r>
    </w:p>
    <w:p w14:paraId="35EAD98C" w14:textId="77777777" w:rsidR="00166BB1" w:rsidRDefault="00166BB1">
      <w:pPr>
        <w:snapToGrid w:val="0"/>
        <w:spacing w:line="360" w:lineRule="auto"/>
        <w:ind w:firstLine="480"/>
        <w:rPr>
          <w:rFonts w:ascii="宋体" w:hAnsi="宋体"/>
          <w:bCs/>
          <w:sz w:val="24"/>
          <w:szCs w:val="24"/>
        </w:rPr>
      </w:pPr>
      <w:r>
        <w:rPr>
          <w:rFonts w:ascii="宋体" w:hAnsi="宋体" w:hint="eastAsia"/>
          <w:bCs/>
          <w:sz w:val="24"/>
          <w:szCs w:val="24"/>
        </w:rPr>
        <w:t>2、交易</w:t>
      </w:r>
      <w:r>
        <w:rPr>
          <w:rFonts w:ascii="宋体" w:hAnsi="宋体"/>
          <w:bCs/>
          <w:sz w:val="24"/>
          <w:szCs w:val="24"/>
        </w:rPr>
        <w:t>及持有基金产生的费用</w:t>
      </w:r>
      <w:r>
        <w:rPr>
          <w:rFonts w:ascii="宋体" w:hAnsi="宋体" w:hint="eastAsia"/>
          <w:bCs/>
          <w:sz w:val="24"/>
          <w:szCs w:val="24"/>
        </w:rPr>
        <w:t>，</w:t>
      </w:r>
      <w:r>
        <w:rPr>
          <w:rFonts w:ascii="宋体" w:hAnsi="宋体"/>
          <w:bCs/>
          <w:sz w:val="24"/>
          <w:szCs w:val="24"/>
        </w:rPr>
        <w:t>包括申购费、赎回费、</w:t>
      </w:r>
      <w:r>
        <w:rPr>
          <w:rFonts w:ascii="宋体" w:hAnsi="宋体" w:hint="eastAsia"/>
          <w:bCs/>
          <w:sz w:val="24"/>
          <w:szCs w:val="24"/>
        </w:rPr>
        <w:t>销售服务费（如有）、</w:t>
      </w:r>
      <w:r>
        <w:rPr>
          <w:rFonts w:ascii="宋体" w:hAnsi="宋体"/>
          <w:bCs/>
          <w:sz w:val="24"/>
          <w:szCs w:val="24"/>
        </w:rPr>
        <w:t>管理费、托管费等</w:t>
      </w:r>
      <w:r>
        <w:rPr>
          <w:rFonts w:ascii="宋体" w:hAnsi="宋体" w:hint="eastAsia"/>
          <w:bCs/>
          <w:sz w:val="24"/>
          <w:szCs w:val="24"/>
        </w:rPr>
        <w:t>，</w:t>
      </w:r>
      <w:r>
        <w:rPr>
          <w:rFonts w:ascii="宋体" w:hAnsi="宋体"/>
          <w:bCs/>
          <w:sz w:val="24"/>
          <w:szCs w:val="24"/>
        </w:rPr>
        <w:t>招募说明书中应当列明计算方法并举例说明。</w:t>
      </w:r>
    </w:p>
    <w:p w14:paraId="0DA8A069" w14:textId="77777777" w:rsidR="00166BB1" w:rsidRDefault="00166BB1">
      <w:pPr>
        <w:snapToGrid w:val="0"/>
        <w:spacing w:line="360" w:lineRule="auto"/>
        <w:ind w:firstLine="480"/>
        <w:rPr>
          <w:rFonts w:ascii="宋体" w:hAnsi="宋体"/>
          <w:bCs/>
          <w:sz w:val="24"/>
          <w:szCs w:val="24"/>
        </w:rPr>
      </w:pPr>
      <w:r>
        <w:rPr>
          <w:rFonts w:ascii="宋体" w:hAnsi="宋体" w:hint="eastAsia"/>
          <w:bCs/>
          <w:sz w:val="24"/>
          <w:szCs w:val="24"/>
        </w:rPr>
        <w:t>3、目标ETF</w:t>
      </w:r>
      <w:r>
        <w:rPr>
          <w:rFonts w:ascii="宋体" w:hAnsi="宋体"/>
          <w:bCs/>
          <w:sz w:val="24"/>
          <w:szCs w:val="24"/>
        </w:rPr>
        <w:t>发生的重大影响</w:t>
      </w:r>
      <w:r>
        <w:rPr>
          <w:rFonts w:ascii="宋体" w:hAnsi="宋体" w:hint="eastAsia"/>
          <w:bCs/>
          <w:sz w:val="24"/>
          <w:szCs w:val="24"/>
        </w:rPr>
        <w:t>事件</w:t>
      </w:r>
      <w:r>
        <w:rPr>
          <w:rFonts w:ascii="宋体" w:hAnsi="宋体"/>
          <w:bCs/>
          <w:sz w:val="24"/>
          <w:szCs w:val="24"/>
        </w:rPr>
        <w:t>，如转换运作方式、与其他基金合并、终止基金合同以及召开基金份额持有人大会等。</w:t>
      </w:r>
    </w:p>
    <w:p w14:paraId="191E99BD" w14:textId="77777777" w:rsidR="00166BB1" w:rsidRDefault="00166BB1">
      <w:pPr>
        <w:snapToGrid w:val="0"/>
        <w:spacing w:line="360" w:lineRule="auto"/>
        <w:ind w:firstLine="480"/>
        <w:rPr>
          <w:rFonts w:ascii="黑体" w:hAnsi="黑体"/>
          <w:bCs/>
          <w:sz w:val="24"/>
          <w:szCs w:val="24"/>
        </w:rPr>
      </w:pPr>
      <w:r>
        <w:rPr>
          <w:rFonts w:ascii="宋体" w:hAnsi="宋体" w:hint="eastAsia"/>
          <w:bCs/>
          <w:sz w:val="24"/>
          <w:szCs w:val="24"/>
        </w:rPr>
        <w:t>4、本基金投资于基金管理人以及基金管理人关联方所管理基金的情况</w:t>
      </w:r>
      <w:r>
        <w:rPr>
          <w:rFonts w:ascii="黑体" w:hAnsi="黑体" w:hint="eastAsia"/>
          <w:bCs/>
          <w:sz w:val="24"/>
          <w:szCs w:val="24"/>
        </w:rPr>
        <w:t>。</w:t>
      </w:r>
    </w:p>
    <w:p w14:paraId="45FCA6F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w:t>
      </w:r>
      <w:r>
        <w:rPr>
          <w:rFonts w:ascii="宋体" w:hAnsi="宋体"/>
          <w:bCs/>
          <w:sz w:val="24"/>
          <w:szCs w:val="24"/>
        </w:rPr>
        <w:t>五</w:t>
      </w:r>
      <w:r>
        <w:rPr>
          <w:rFonts w:ascii="宋体" w:hAnsi="宋体" w:hint="eastAsia"/>
          <w:bCs/>
          <w:sz w:val="24"/>
          <w:szCs w:val="24"/>
        </w:rPr>
        <w:t>）投资股票期权相关公告</w:t>
      </w:r>
    </w:p>
    <w:p w14:paraId="089E8AF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投资股票期权的，基金管理人应在定期信息披露文件中披露参与股票期权交易的有关情况，包括投资政策、持仓情况、损益情况、风险指标、估值方法等，并充分揭示股票期权交易对基金总体风险的影响以及是否符合既定的投资政策和投资目标。</w:t>
      </w:r>
    </w:p>
    <w:p w14:paraId="45458D14" w14:textId="77777777" w:rsidR="00166BB1" w:rsidRDefault="00166BB1">
      <w:pPr>
        <w:adjustRightInd w:val="0"/>
        <w:snapToGrid w:val="0"/>
        <w:spacing w:line="360" w:lineRule="auto"/>
        <w:ind w:firstLineChars="200" w:firstLine="480"/>
        <w:rPr>
          <w:rFonts w:ascii="黑体" w:hAnsi="黑体"/>
          <w:bCs/>
          <w:sz w:val="24"/>
          <w:szCs w:val="24"/>
        </w:rPr>
      </w:pPr>
      <w:r>
        <w:rPr>
          <w:rFonts w:ascii="黑体" w:hAnsi="黑体" w:hint="eastAsia"/>
          <w:bCs/>
          <w:sz w:val="24"/>
          <w:szCs w:val="24"/>
        </w:rPr>
        <w:t>（十六）参与融资</w:t>
      </w:r>
      <w:r>
        <w:rPr>
          <w:rFonts w:ascii="黑体" w:hAnsi="黑体"/>
          <w:bCs/>
          <w:sz w:val="24"/>
          <w:szCs w:val="24"/>
        </w:rPr>
        <w:t>及</w:t>
      </w:r>
      <w:r>
        <w:rPr>
          <w:rFonts w:ascii="黑体" w:hAnsi="黑体" w:hint="eastAsia"/>
          <w:bCs/>
          <w:sz w:val="24"/>
          <w:szCs w:val="24"/>
        </w:rPr>
        <w:t>转融通证券出借业务的信息披露</w:t>
      </w:r>
    </w:p>
    <w:p w14:paraId="18421B53" w14:textId="77777777" w:rsidR="00166BB1" w:rsidRDefault="00166BB1">
      <w:pPr>
        <w:adjustRightInd w:val="0"/>
        <w:snapToGrid w:val="0"/>
        <w:spacing w:line="360" w:lineRule="auto"/>
        <w:ind w:firstLineChars="200" w:firstLine="480"/>
        <w:rPr>
          <w:rFonts w:ascii="黑体" w:hAnsi="黑体"/>
          <w:bCs/>
          <w:sz w:val="24"/>
          <w:szCs w:val="24"/>
        </w:rPr>
      </w:pPr>
      <w:r>
        <w:rPr>
          <w:rFonts w:ascii="黑体" w:hAnsi="黑体" w:hint="eastAsia"/>
          <w:bCs/>
          <w:sz w:val="24"/>
          <w:szCs w:val="24"/>
        </w:rPr>
        <w:t>本基金参与融资</w:t>
      </w:r>
      <w:r>
        <w:rPr>
          <w:rFonts w:ascii="黑体" w:hAnsi="黑体"/>
          <w:bCs/>
          <w:sz w:val="24"/>
          <w:szCs w:val="24"/>
        </w:rPr>
        <w:t>及</w:t>
      </w:r>
      <w:r>
        <w:rPr>
          <w:rFonts w:ascii="黑体" w:hAnsi="黑体" w:hint="eastAsia"/>
          <w:bCs/>
          <w:sz w:val="24"/>
          <w:szCs w:val="24"/>
        </w:rPr>
        <w:t>转融通证券出借业务的，基金管理人应当在季度报告、中期报告和年度报告等定期报告和招募说明书（更新）等文件中披露参与融资</w:t>
      </w:r>
      <w:r>
        <w:rPr>
          <w:rFonts w:ascii="黑体" w:hAnsi="黑体"/>
          <w:bCs/>
          <w:sz w:val="24"/>
          <w:szCs w:val="24"/>
        </w:rPr>
        <w:t>及</w:t>
      </w:r>
      <w:r>
        <w:rPr>
          <w:rFonts w:ascii="黑体" w:hAnsi="黑体" w:hint="eastAsia"/>
          <w:bCs/>
          <w:sz w:val="24"/>
          <w:szCs w:val="24"/>
        </w:rPr>
        <w:t>转融通证券出借交易情况，包括投资策略、业务开展情况、损益情况、风险及其管</w:t>
      </w:r>
      <w:r>
        <w:rPr>
          <w:rFonts w:ascii="黑体" w:hAnsi="黑体" w:hint="eastAsia"/>
          <w:bCs/>
          <w:sz w:val="24"/>
          <w:szCs w:val="24"/>
        </w:rPr>
        <w:lastRenderedPageBreak/>
        <w:t>理情况等，并就报告期内本基金参与转融通证券出借业务发生的重大关联交易事项做详细说明。</w:t>
      </w:r>
    </w:p>
    <w:p w14:paraId="3B1EF793" w14:textId="77777777" w:rsidR="00166BB1" w:rsidRDefault="00166BB1">
      <w:pPr>
        <w:adjustRightInd w:val="0"/>
        <w:snapToGrid w:val="0"/>
        <w:spacing w:line="360" w:lineRule="auto"/>
        <w:ind w:firstLineChars="200" w:firstLine="480"/>
        <w:rPr>
          <w:rFonts w:ascii="黑体" w:hAnsi="黑体"/>
          <w:bCs/>
          <w:sz w:val="24"/>
          <w:szCs w:val="24"/>
        </w:rPr>
      </w:pPr>
      <w:r>
        <w:rPr>
          <w:rFonts w:ascii="黑体" w:hAnsi="黑体" w:hint="eastAsia"/>
          <w:bCs/>
          <w:sz w:val="24"/>
          <w:szCs w:val="24"/>
        </w:rPr>
        <w:t>（十七）投资流通受限证券信息披露</w:t>
      </w:r>
    </w:p>
    <w:p w14:paraId="2E0C93A0" w14:textId="77777777" w:rsidR="00166BB1" w:rsidRDefault="00166BB1">
      <w:pPr>
        <w:adjustRightInd w:val="0"/>
        <w:snapToGrid w:val="0"/>
        <w:spacing w:line="360" w:lineRule="auto"/>
        <w:ind w:firstLineChars="200" w:firstLine="480"/>
        <w:rPr>
          <w:rFonts w:ascii="黑体" w:hAnsi="黑体"/>
          <w:bCs/>
          <w:sz w:val="24"/>
          <w:szCs w:val="24"/>
        </w:rPr>
      </w:pPr>
      <w:r>
        <w:rPr>
          <w:rFonts w:ascii="黑体" w:hAnsi="黑体" w:hint="eastAsia"/>
          <w:bCs/>
          <w:sz w:val="24"/>
          <w:szCs w:val="24"/>
        </w:rPr>
        <w:t>基金管理公司应在基金投资非公开发行股票后两个交易日内，在中国证监会指定媒介披露所投资非公开发行股票的名称、数量、总成本、账面价值，以及总成本和账面价值占基金资产净值的比例、锁定期等信息。</w:t>
      </w:r>
    </w:p>
    <w:p w14:paraId="3388371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（十八）实施</w:t>
      </w:r>
      <w:proofErr w:type="gramStart"/>
      <w:r>
        <w:rPr>
          <w:rFonts w:ascii="宋体" w:hAnsi="宋体" w:hint="eastAsia"/>
          <w:bCs/>
          <w:sz w:val="24"/>
          <w:szCs w:val="24"/>
        </w:rPr>
        <w:t>侧袋机制</w:t>
      </w:r>
      <w:proofErr w:type="gramEnd"/>
      <w:r>
        <w:rPr>
          <w:rFonts w:ascii="宋体" w:hAnsi="宋体" w:hint="eastAsia"/>
          <w:bCs/>
          <w:sz w:val="24"/>
          <w:szCs w:val="24"/>
        </w:rPr>
        <w:t>期间的信息披露</w:t>
      </w:r>
    </w:p>
    <w:p w14:paraId="0BB56E2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的，相关信息披露义务人应当根据法律法规、基金合同和招募说明书的规定进行信息披露，详见招募说明书的规定。</w:t>
      </w:r>
    </w:p>
    <w:p w14:paraId="4A4EB17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（十九）中国证监会规定的其他信息。</w:t>
      </w:r>
    </w:p>
    <w:p w14:paraId="47FC0FE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六、信息披露事务管理</w:t>
      </w:r>
    </w:p>
    <w:p w14:paraId="2BFA142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基金管理人、基金托管人应当建立健全信息披露管理制度，指定专门部门及高级管理人员负责管理信息披露事务。</w:t>
      </w:r>
    </w:p>
    <w:p w14:paraId="33E4588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基金信息披露义务人公开披露基金信息，应当符合中国证监会相关基金信息披露内容与格式准则等法律法规的规定。</w:t>
      </w:r>
    </w:p>
    <w:p w14:paraId="5A257255" w14:textId="77777777" w:rsidR="00166BB1" w:rsidRDefault="00166BB1">
      <w:pPr>
        <w:adjustRightInd w:val="0"/>
        <w:snapToGrid w:val="0"/>
        <w:spacing w:line="360" w:lineRule="auto"/>
        <w:ind w:firstLineChars="200" w:firstLine="480"/>
        <w:rPr>
          <w:rFonts w:ascii="黑体" w:hAnsi="黑体"/>
          <w:bCs/>
          <w:sz w:val="24"/>
          <w:szCs w:val="24"/>
        </w:rPr>
      </w:pPr>
      <w:r>
        <w:rPr>
          <w:rFonts w:ascii="黑体" w:hAnsi="黑体" w:hint="eastAsia"/>
          <w:bCs/>
          <w:sz w:val="24"/>
          <w:szCs w:val="24"/>
        </w:rPr>
        <w:t>基金托管人应当按照相关法律法规、中国证监会的规定和基金合同的约定，对基金管理人编制的基金资产净值、各类基金份额</w:t>
      </w:r>
      <w:r>
        <w:rPr>
          <w:rFonts w:ascii="黑体" w:hAnsi="黑体"/>
          <w:bCs/>
          <w:sz w:val="24"/>
          <w:szCs w:val="24"/>
        </w:rPr>
        <w:t>净值、</w:t>
      </w:r>
      <w:r>
        <w:rPr>
          <w:rFonts w:ascii="黑体" w:hAnsi="黑体" w:hint="eastAsia"/>
          <w:bCs/>
          <w:sz w:val="24"/>
          <w:szCs w:val="24"/>
        </w:rPr>
        <w:t>基金份额申购赎回价格、基金定期报告、更新的招募说明书、基金产品资料概要、基金清算报告等公开披露的相关基金信息进行复核、审查，并向基金管理人进行书面或电子确认。</w:t>
      </w:r>
    </w:p>
    <w:p w14:paraId="69A01CA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基金管理人、基金托管人应当在规定报刊中选择一家报刊披露本基金信息。基金管理人、基金托管人应当向中国证监会基金电子披露网站报送拟披露的基金信息，并保证相关报送信息的真实、准确、完整、及时。</w:t>
      </w:r>
    </w:p>
    <w:p w14:paraId="3E78944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32DD3E9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基金管理人、基金托管人除按法律法规要求披露信息外，也可着眼于为投资者决策提供有用信息的角度，在保证公平对待投资者、</w:t>
      </w:r>
      <w:proofErr w:type="gramStart"/>
      <w:r>
        <w:rPr>
          <w:rFonts w:ascii="宋体" w:hAnsi="宋体" w:hint="eastAsia"/>
          <w:bCs/>
          <w:sz w:val="24"/>
          <w:szCs w:val="24"/>
        </w:rPr>
        <w:t>不</w:t>
      </w:r>
      <w:proofErr w:type="gramEnd"/>
      <w:r>
        <w:rPr>
          <w:rFonts w:ascii="宋体" w:hAnsi="宋体" w:hint="eastAsia"/>
          <w:bCs/>
          <w:sz w:val="24"/>
          <w:szCs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6CB5DAD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为基金信息披露义务人公开披露的基金信息出具审计报告、法律意见书的专业机构，应当制作工作底稿，并将相关档案至少保存到基金合同终止后10年。</w:t>
      </w:r>
    </w:p>
    <w:p w14:paraId="1798B98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七、信息披露文件的存放与查阅</w:t>
      </w:r>
    </w:p>
    <w:p w14:paraId="59133B7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依法必须披露的信息发布后，基金管理人、基金托管人应当按照相关法律法规规定将信息置备于各自住所，供社会公众查阅、复制。</w:t>
      </w:r>
    </w:p>
    <w:p w14:paraId="51DC93D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八、暂停或延迟信息披露的情形</w:t>
      </w:r>
    </w:p>
    <w:p w14:paraId="161FF8D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当出现下述情况时，基金管理人和基金托管人可暂停或延迟披露基金相关信息：</w:t>
      </w:r>
    </w:p>
    <w:p w14:paraId="63994AB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1、基金投资所涉及的证券/期货交易所遇法定节假日或因其他原因暂停营业时；</w:t>
      </w:r>
    </w:p>
    <w:p w14:paraId="0AD4DBD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2、不可抗力；</w:t>
      </w:r>
    </w:p>
    <w:p w14:paraId="2302ED99" w14:textId="77777777" w:rsidR="00166BB1" w:rsidRDefault="00166BB1">
      <w:pPr>
        <w:adjustRightInd w:val="0"/>
        <w:snapToGrid w:val="0"/>
        <w:spacing w:line="360" w:lineRule="auto"/>
        <w:ind w:firstLineChars="200" w:firstLine="480"/>
        <w:rPr>
          <w:rFonts w:ascii="宋体" w:hAnsi="宋体"/>
          <w:bCs/>
          <w:sz w:val="24"/>
          <w:szCs w:val="24"/>
        </w:rPr>
      </w:pPr>
      <w:bookmarkStart w:id="404" w:name="_Hlk156638209"/>
      <w:r>
        <w:rPr>
          <w:rFonts w:ascii="宋体" w:hAnsi="宋体" w:hint="eastAsia"/>
          <w:bCs/>
          <w:sz w:val="24"/>
          <w:szCs w:val="24"/>
        </w:rPr>
        <w:t>3、发生暂停估值的情形；</w:t>
      </w:r>
    </w:p>
    <w:bookmarkEnd w:id="404"/>
    <w:p w14:paraId="4261D14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、法律法规规定、中国证监会或基金合同认定的其他情形。</w:t>
      </w:r>
    </w:p>
    <w:p w14:paraId="3DA6BB08" w14:textId="77777777" w:rsidR="00166BB1" w:rsidRDefault="00166BB1">
      <w:pPr>
        <w:pStyle w:val="1"/>
        <w:spacing w:before="0" w:after="0"/>
        <w:jc w:val="center"/>
        <w:rPr>
          <w:rFonts w:ascii="Times New Roman"/>
          <w:color w:val="auto"/>
          <w:sz w:val="32"/>
        </w:rPr>
      </w:pPr>
      <w:r>
        <w:rPr>
          <w:rFonts w:hAnsi="宋体" w:hint="eastAsia"/>
          <w:bCs/>
          <w:szCs w:val="24"/>
        </w:rPr>
        <w:br w:type="page"/>
      </w:r>
      <w:bookmarkStart w:id="405" w:name="_Toc123102466"/>
      <w:bookmarkStart w:id="406" w:name="_Toc123112247"/>
      <w:bookmarkStart w:id="407" w:name="_Toc139991749"/>
      <w:bookmarkStart w:id="408" w:name="_Toc8049"/>
      <w:bookmarkStart w:id="409" w:name="_Toc25647"/>
      <w:bookmarkStart w:id="410" w:name="_Toc531676886"/>
      <w:bookmarkStart w:id="411" w:name="_Toc29891"/>
      <w:bookmarkStart w:id="412" w:name="_Toc8059"/>
      <w:bookmarkStart w:id="413" w:name="_Toc6237"/>
      <w:bookmarkStart w:id="414" w:name="_Toc22978"/>
      <w:bookmarkStart w:id="415" w:name="_Toc10006"/>
      <w:bookmarkStart w:id="416" w:name="_Toc123051465"/>
      <w:bookmarkStart w:id="417" w:name="_Toc7170"/>
      <w:bookmarkStart w:id="418" w:name="_Toc141703899"/>
      <w:bookmarkStart w:id="419" w:name="_Toc98560364"/>
      <w:bookmarkStart w:id="420" w:name="_Toc89430574"/>
      <w:bookmarkStart w:id="421" w:name="_Toc9005"/>
      <w:bookmarkStart w:id="422" w:name="_Toc27464"/>
      <w:r>
        <w:rPr>
          <w:rFonts w:ascii="Times New Roman"/>
          <w:color w:val="auto"/>
          <w:sz w:val="32"/>
        </w:rPr>
        <w:lastRenderedPageBreak/>
        <w:t>第</w:t>
      </w:r>
      <w:r>
        <w:rPr>
          <w:rFonts w:ascii="Times New Roman" w:hint="eastAsia"/>
          <w:color w:val="auto"/>
          <w:sz w:val="32"/>
        </w:rPr>
        <w:t>十九</w:t>
      </w:r>
      <w:r>
        <w:rPr>
          <w:rFonts w:ascii="Times New Roman"/>
          <w:color w:val="auto"/>
          <w:sz w:val="32"/>
        </w:rPr>
        <w:t>部分</w:t>
      </w:r>
      <w:bookmarkStart w:id="423" w:name="_Hlt88828593"/>
      <w:r>
        <w:rPr>
          <w:rFonts w:ascii="Times New Roman" w:hint="eastAsia"/>
          <w:color w:val="auto"/>
          <w:sz w:val="32"/>
        </w:rPr>
        <w:t xml:space="preserve">  </w:t>
      </w:r>
      <w:r>
        <w:rPr>
          <w:rFonts w:ascii="Times New Roman"/>
          <w:color w:val="auto"/>
          <w:sz w:val="32"/>
        </w:rPr>
        <w:t>基金合同</w:t>
      </w:r>
      <w:bookmarkEnd w:id="423"/>
      <w:r>
        <w:rPr>
          <w:rFonts w:ascii="Times New Roman"/>
          <w:color w:val="auto"/>
          <w:sz w:val="32"/>
        </w:rPr>
        <w:t>的变更、终止与基金财产的清算</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p>
    <w:p w14:paraId="4061EFC2" w14:textId="77777777" w:rsidR="00166BB1" w:rsidRDefault="00166BB1">
      <w:pPr>
        <w:spacing w:line="360" w:lineRule="auto"/>
        <w:ind w:firstLineChars="200" w:firstLine="480"/>
        <w:rPr>
          <w:bCs/>
          <w:sz w:val="24"/>
        </w:rPr>
      </w:pPr>
    </w:p>
    <w:p w14:paraId="0837B4C1" w14:textId="77777777" w:rsidR="00166BB1" w:rsidRDefault="00166BB1">
      <w:pPr>
        <w:adjustRightInd w:val="0"/>
        <w:snapToGrid w:val="0"/>
        <w:spacing w:line="360" w:lineRule="auto"/>
        <w:ind w:firstLineChars="200" w:firstLine="480"/>
        <w:rPr>
          <w:rFonts w:ascii="宋体" w:hAnsi="宋体"/>
          <w:bCs/>
          <w:sz w:val="24"/>
        </w:rPr>
      </w:pPr>
      <w:bookmarkStart w:id="424" w:name="_Toc79392639"/>
      <w:r>
        <w:rPr>
          <w:rFonts w:ascii="宋体" w:hAnsi="宋体"/>
          <w:bCs/>
          <w:sz w:val="24"/>
        </w:rPr>
        <w:t>一、基金合同的变更</w:t>
      </w:r>
      <w:bookmarkEnd w:id="424"/>
    </w:p>
    <w:p w14:paraId="5C1E0A55"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1、变更基金合同涉及法律法规规定或本基金合同约定应经基金份额持有人大会决议通过的事项的，应召</w:t>
      </w:r>
      <w:proofErr w:type="gramStart"/>
      <w:r>
        <w:rPr>
          <w:rFonts w:ascii="宋体" w:hAnsi="宋体" w:hint="eastAsia"/>
          <w:bCs/>
          <w:sz w:val="24"/>
        </w:rPr>
        <w:t>开基金</w:t>
      </w:r>
      <w:proofErr w:type="gramEnd"/>
      <w:r>
        <w:rPr>
          <w:rFonts w:ascii="宋体" w:hAnsi="宋体" w:hint="eastAsia"/>
          <w:bCs/>
          <w:sz w:val="24"/>
        </w:rPr>
        <w:t>份额持有人大会决议通过。对于法律法规规定和基金合同约定可不经基金份额持有人大会决议通过的事项，由基金管理人和基金托管人同意并履行适当程序后变更并公告。</w:t>
      </w:r>
    </w:p>
    <w:p w14:paraId="077F3DE4"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2、关于基金合同变更的基金份额持有人大会决议自生效后方可执行，</w:t>
      </w:r>
      <w:proofErr w:type="gramStart"/>
      <w:r>
        <w:rPr>
          <w:rFonts w:ascii="宋体" w:hAnsi="宋体" w:hint="eastAsia"/>
          <w:bCs/>
          <w:sz w:val="24"/>
        </w:rPr>
        <w:t>自决议</w:t>
      </w:r>
      <w:proofErr w:type="gramEnd"/>
      <w:r>
        <w:rPr>
          <w:rFonts w:ascii="宋体" w:hAnsi="宋体" w:hint="eastAsia"/>
          <w:bCs/>
          <w:sz w:val="24"/>
        </w:rPr>
        <w:t>生效后依照《信息披露办法》的有关规定在规定媒介公告。</w:t>
      </w:r>
      <w:proofErr w:type="gramStart"/>
      <w:r>
        <w:rPr>
          <w:rFonts w:ascii="宋体" w:hAnsi="宋体" w:hint="eastAsia"/>
          <w:bCs/>
          <w:sz w:val="24"/>
        </w:rPr>
        <w:t>若法律</w:t>
      </w:r>
      <w:proofErr w:type="gramEnd"/>
      <w:r>
        <w:rPr>
          <w:rFonts w:ascii="宋体" w:hAnsi="宋体" w:hint="eastAsia"/>
          <w:bCs/>
          <w:sz w:val="24"/>
        </w:rPr>
        <w:t>法规发生变化，则以变化后的规定为准。</w:t>
      </w:r>
    </w:p>
    <w:p w14:paraId="37761398"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二、基金合同的终止事由</w:t>
      </w:r>
    </w:p>
    <w:p w14:paraId="47DA77CC"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有下列情形之一的，</w:t>
      </w:r>
      <w:r>
        <w:rPr>
          <w:rFonts w:ascii="宋体" w:hAnsi="宋体" w:hint="eastAsia"/>
          <w:bCs/>
          <w:sz w:val="24"/>
        </w:rPr>
        <w:t>经履行相关程序后，基金合同应当终止</w:t>
      </w:r>
      <w:r>
        <w:rPr>
          <w:rFonts w:ascii="宋体" w:hAnsi="宋体"/>
          <w:bCs/>
          <w:sz w:val="24"/>
        </w:rPr>
        <w:t>：</w:t>
      </w:r>
    </w:p>
    <w:p w14:paraId="2332B530"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1、基金份额持有人大会决定终止的；</w:t>
      </w:r>
    </w:p>
    <w:p w14:paraId="6B5DB160"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2、基金管理人、基金托管人职责终止，在6个月内没有新基金管理人、新基金托管人承接的；</w:t>
      </w:r>
    </w:p>
    <w:p w14:paraId="046A9FE6"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基金合同约定的其他情形；</w:t>
      </w:r>
    </w:p>
    <w:p w14:paraId="0984DCF3"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、相关法律法规和中国证监会规定的其他情况。</w:t>
      </w:r>
    </w:p>
    <w:p w14:paraId="491D1810"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三、基金财产的清算</w:t>
      </w:r>
    </w:p>
    <w:p w14:paraId="7C310A15"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1、基金财产清算小组：</w:t>
      </w:r>
      <w:r>
        <w:rPr>
          <w:rFonts w:ascii="宋体" w:hAnsi="宋体" w:hint="eastAsia"/>
          <w:bCs/>
          <w:sz w:val="24"/>
        </w:rPr>
        <w:t>基金合同终止事由出现后</w:t>
      </w:r>
      <w:r>
        <w:rPr>
          <w:rFonts w:ascii="宋体" w:hAnsi="宋体"/>
          <w:bCs/>
          <w:sz w:val="24"/>
        </w:rPr>
        <w:t>，基金管理人组织基金财产清算小组并在中国证监会的监督下进行基金清算。</w:t>
      </w:r>
    </w:p>
    <w:p w14:paraId="005CB388"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7F600B18"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3、</w:t>
      </w:r>
      <w:r>
        <w:rPr>
          <w:rFonts w:ascii="宋体" w:hAnsi="宋体"/>
          <w:bCs/>
          <w:sz w:val="24"/>
        </w:rPr>
        <w:t>基金财产清算小组职责：基金财产清算小组负责基金财产的保管、清理、估价、变现和分配。基金财产清算小组可以依法进行必要的民事活动。</w:t>
      </w:r>
    </w:p>
    <w:p w14:paraId="22969BBF"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4</w:t>
      </w:r>
      <w:r>
        <w:rPr>
          <w:rFonts w:ascii="宋体" w:hAnsi="宋体"/>
          <w:bCs/>
          <w:sz w:val="24"/>
        </w:rPr>
        <w:t>、基金财产清算程序：</w:t>
      </w:r>
    </w:p>
    <w:p w14:paraId="06E1B233"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（1）基金合同终止情形出现时，由基金财产清算小组统一接管基金</w:t>
      </w:r>
      <w:r>
        <w:rPr>
          <w:rFonts w:ascii="宋体" w:hAnsi="宋体" w:hint="eastAsia"/>
          <w:bCs/>
          <w:sz w:val="24"/>
        </w:rPr>
        <w:t>财产</w:t>
      </w:r>
      <w:r>
        <w:rPr>
          <w:rFonts w:ascii="宋体" w:hAnsi="宋体"/>
          <w:bCs/>
          <w:sz w:val="24"/>
        </w:rPr>
        <w:t>；</w:t>
      </w:r>
    </w:p>
    <w:p w14:paraId="1B7E10C4"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（2）对基金财产和债权债务进行清理和确认；</w:t>
      </w:r>
    </w:p>
    <w:p w14:paraId="4E55F88F"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（3）对基金财产进行估值和变现；</w:t>
      </w:r>
    </w:p>
    <w:p w14:paraId="532D591E"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lastRenderedPageBreak/>
        <w:t>（4）制作清算报告；</w:t>
      </w:r>
    </w:p>
    <w:p w14:paraId="0DC0C591"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（5）聘请会计师事务所对清算报告进行外部审计，聘请律师事务所对清算报告出具法律意见书；</w:t>
      </w:r>
    </w:p>
    <w:p w14:paraId="37681435"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（6）将清算报告报中国证监会备案并公告</w:t>
      </w:r>
      <w:r>
        <w:rPr>
          <w:rFonts w:ascii="宋体" w:hAnsi="宋体" w:hint="eastAsia"/>
          <w:bCs/>
          <w:sz w:val="24"/>
        </w:rPr>
        <w:t>；</w:t>
      </w:r>
    </w:p>
    <w:p w14:paraId="2EDC0880"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（7）对基金</w:t>
      </w:r>
      <w:r>
        <w:rPr>
          <w:rFonts w:ascii="宋体" w:hAnsi="宋体" w:hint="eastAsia"/>
          <w:bCs/>
          <w:sz w:val="24"/>
        </w:rPr>
        <w:t>剩余</w:t>
      </w:r>
      <w:r>
        <w:rPr>
          <w:rFonts w:ascii="宋体" w:hAnsi="宋体"/>
          <w:bCs/>
          <w:sz w:val="24"/>
        </w:rPr>
        <w:t>财产进行分配</w:t>
      </w:r>
      <w:r>
        <w:rPr>
          <w:rFonts w:ascii="宋体" w:hAnsi="宋体" w:hint="eastAsia"/>
          <w:bCs/>
          <w:sz w:val="24"/>
        </w:rPr>
        <w:t>。</w:t>
      </w:r>
    </w:p>
    <w:p w14:paraId="4A3EE8C5"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5</w:t>
      </w:r>
      <w:r>
        <w:rPr>
          <w:rFonts w:ascii="宋体" w:hAnsi="宋体"/>
          <w:bCs/>
          <w:sz w:val="24"/>
        </w:rPr>
        <w:t>、基金财产清算的期限为</w:t>
      </w:r>
      <w:r>
        <w:rPr>
          <w:rFonts w:ascii="宋体" w:hAnsi="宋体" w:hint="eastAsia"/>
          <w:bCs/>
          <w:sz w:val="24"/>
        </w:rPr>
        <w:t>6</w:t>
      </w:r>
      <w:r>
        <w:rPr>
          <w:rFonts w:ascii="宋体" w:hAnsi="宋体"/>
          <w:bCs/>
          <w:sz w:val="24"/>
        </w:rPr>
        <w:t>个月</w:t>
      </w:r>
      <w:r>
        <w:rPr>
          <w:rFonts w:ascii="宋体" w:hAnsi="宋体" w:hint="eastAsia"/>
          <w:bCs/>
          <w:sz w:val="24"/>
        </w:rPr>
        <w:t>，但因本基金所持证券的流动性受到限制而不能及时变现的，清算期限相应顺延。</w:t>
      </w:r>
    </w:p>
    <w:p w14:paraId="6A74B856"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四、清算费用</w:t>
      </w:r>
    </w:p>
    <w:p w14:paraId="1AD0B53A"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清算费用是指基金财产清算小组在进行基金清算过程中发生的所有合理费用，清算费用由基金财产清算小组优先从基金</w:t>
      </w:r>
      <w:r>
        <w:rPr>
          <w:rFonts w:ascii="宋体" w:hAnsi="宋体" w:hint="eastAsia"/>
          <w:bCs/>
          <w:sz w:val="24"/>
        </w:rPr>
        <w:t>剩余</w:t>
      </w:r>
      <w:r>
        <w:rPr>
          <w:rFonts w:ascii="宋体" w:hAnsi="宋体"/>
          <w:bCs/>
          <w:sz w:val="24"/>
        </w:rPr>
        <w:t>财产中支付。</w:t>
      </w:r>
    </w:p>
    <w:p w14:paraId="53C540D2"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五、基金财产清算剩余资产的分配</w:t>
      </w:r>
    </w:p>
    <w:p w14:paraId="51548E75"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依据基金财产清算的分配方案，将基金财产清算后的全部剩余资产扣除基金财产清算费用、交纳所欠税款并清偿基金债务后，按基金份额持有人持有的</w:t>
      </w:r>
      <w:r>
        <w:rPr>
          <w:rFonts w:ascii="宋体" w:hAnsi="宋体" w:hint="eastAsia"/>
          <w:bCs/>
          <w:sz w:val="24"/>
        </w:rPr>
        <w:t>各类</w:t>
      </w:r>
      <w:r>
        <w:rPr>
          <w:rFonts w:ascii="宋体" w:hAnsi="宋体"/>
          <w:bCs/>
          <w:sz w:val="24"/>
        </w:rPr>
        <w:t>基金份额比例进行分配。</w:t>
      </w:r>
    </w:p>
    <w:p w14:paraId="33E9F400"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六、基金财产清算的公告</w:t>
      </w:r>
    </w:p>
    <w:p w14:paraId="31426125"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清算过程中的有关重大事项须及时公告；基金财产清算报告</w:t>
      </w:r>
      <w:proofErr w:type="gramStart"/>
      <w:r>
        <w:rPr>
          <w:rFonts w:ascii="宋体" w:hAnsi="宋体"/>
          <w:bCs/>
          <w:sz w:val="24"/>
        </w:rPr>
        <w:t>经</w:t>
      </w:r>
      <w:r>
        <w:rPr>
          <w:rFonts w:ascii="宋体" w:hAnsi="宋体" w:hint="eastAsia"/>
          <w:bCs/>
          <w:sz w:val="24"/>
        </w:rPr>
        <w:t>符合</w:t>
      </w:r>
      <w:proofErr w:type="gramEnd"/>
      <w:r>
        <w:rPr>
          <w:rFonts w:ascii="宋体" w:hAnsi="宋体" w:hint="eastAsia"/>
          <w:bCs/>
          <w:sz w:val="24"/>
        </w:rPr>
        <w:t>《中华人民共和国证券法》规定的</w:t>
      </w:r>
      <w:r>
        <w:rPr>
          <w:rFonts w:ascii="宋体" w:hAnsi="宋体"/>
          <w:bCs/>
          <w:sz w:val="24"/>
        </w:rPr>
        <w:t>会计师事务所审计</w:t>
      </w:r>
      <w:r>
        <w:rPr>
          <w:rFonts w:ascii="宋体" w:hAnsi="宋体" w:hint="eastAsia"/>
          <w:bCs/>
          <w:sz w:val="24"/>
        </w:rPr>
        <w:t>，律师事务所出具法律意见书后，由基金财产清算小组报中国证监会备案并公告。基金财产清算小组报中国证监会备案并公告后5个工作日内，应当将清算报告登载在规定网站上，并将清算报告提示性公告登载在规定报刊上。</w:t>
      </w:r>
    </w:p>
    <w:p w14:paraId="5A95844F"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七、基金财产清算账册及文件的保存</w:t>
      </w:r>
    </w:p>
    <w:p w14:paraId="3501A98F" w14:textId="77777777" w:rsidR="00166BB1" w:rsidRDefault="00166BB1">
      <w:pPr>
        <w:adjustRightInd w:val="0"/>
        <w:snapToGrid w:val="0"/>
        <w:spacing w:line="360" w:lineRule="auto"/>
        <w:ind w:firstLineChars="200" w:firstLine="480"/>
        <w:rPr>
          <w:bCs/>
          <w:sz w:val="24"/>
        </w:rPr>
      </w:pPr>
      <w:r>
        <w:rPr>
          <w:rFonts w:ascii="宋体" w:hAnsi="宋体"/>
          <w:bCs/>
          <w:sz w:val="24"/>
        </w:rPr>
        <w:t>基金财产清算账册及有关文件由基金托管人保存</w:t>
      </w:r>
      <w:r>
        <w:rPr>
          <w:rFonts w:ascii="宋体" w:hAnsi="宋体" w:hint="eastAsia"/>
          <w:bCs/>
          <w:sz w:val="24"/>
        </w:rPr>
        <w:t>，保存期限不少于法律法规规定的最低期限</w:t>
      </w:r>
      <w:r>
        <w:rPr>
          <w:rFonts w:ascii="宋体" w:hAnsi="宋体"/>
          <w:bCs/>
          <w:sz w:val="24"/>
        </w:rPr>
        <w:t>。</w:t>
      </w:r>
    </w:p>
    <w:p w14:paraId="1BD2AB24" w14:textId="77777777" w:rsidR="00166BB1" w:rsidRDefault="00166BB1">
      <w:pPr>
        <w:spacing w:line="360" w:lineRule="auto"/>
        <w:ind w:firstLineChars="200" w:firstLine="480"/>
        <w:rPr>
          <w:bCs/>
          <w:sz w:val="24"/>
        </w:rPr>
      </w:pPr>
    </w:p>
    <w:p w14:paraId="7BFC55E6" w14:textId="77777777" w:rsidR="00166BB1" w:rsidRDefault="00166BB1">
      <w:pPr>
        <w:pStyle w:val="1"/>
        <w:spacing w:before="0" w:after="0"/>
        <w:jc w:val="center"/>
        <w:rPr>
          <w:rFonts w:ascii="Times New Roman"/>
          <w:color w:val="auto"/>
          <w:sz w:val="32"/>
        </w:rPr>
      </w:pPr>
      <w:bookmarkStart w:id="425" w:name="_Toc48649720"/>
      <w:bookmarkStart w:id="426" w:name="_Toc79392641"/>
      <w:bookmarkStart w:id="427" w:name="_Toc123051466"/>
      <w:bookmarkStart w:id="428" w:name="_Toc98560365"/>
      <w:bookmarkStart w:id="429" w:name="_Toc123102467"/>
      <w:bookmarkStart w:id="430" w:name="_Toc123112248"/>
      <w:r>
        <w:rPr>
          <w:rFonts w:ascii="Times New Roman"/>
          <w:b w:val="0"/>
          <w:bCs/>
          <w:color w:val="auto"/>
        </w:rPr>
        <w:br w:type="page"/>
      </w:r>
      <w:bookmarkStart w:id="431" w:name="_Toc23022"/>
      <w:bookmarkStart w:id="432" w:name="_Toc8710"/>
      <w:bookmarkStart w:id="433" w:name="_Toc139991750"/>
      <w:bookmarkStart w:id="434" w:name="_Toc9708"/>
      <w:bookmarkStart w:id="435" w:name="_Toc13398"/>
      <w:bookmarkStart w:id="436" w:name="_Toc12191"/>
      <w:bookmarkStart w:id="437" w:name="_Toc141703901"/>
      <w:bookmarkStart w:id="438" w:name="_Toc7367"/>
      <w:bookmarkStart w:id="439" w:name="_Toc28549"/>
      <w:bookmarkStart w:id="440" w:name="_Toc27058"/>
      <w:bookmarkStart w:id="441" w:name="_Toc30645"/>
      <w:bookmarkStart w:id="442" w:name="_Toc89430575"/>
      <w:bookmarkStart w:id="443" w:name="_Toc21240"/>
      <w:bookmarkStart w:id="444" w:name="_Toc531676887"/>
      <w:r>
        <w:rPr>
          <w:rFonts w:ascii="Times New Roman"/>
          <w:color w:val="auto"/>
          <w:sz w:val="32"/>
        </w:rPr>
        <w:lastRenderedPageBreak/>
        <w:t>第二十部分</w:t>
      </w:r>
      <w:r>
        <w:rPr>
          <w:rFonts w:ascii="Times New Roman" w:hint="eastAsia"/>
          <w:color w:val="auto"/>
          <w:sz w:val="32"/>
        </w:rPr>
        <w:t xml:space="preserve">  </w:t>
      </w:r>
      <w:r>
        <w:rPr>
          <w:rFonts w:ascii="Times New Roman"/>
          <w:color w:val="auto"/>
          <w:sz w:val="32"/>
        </w:rPr>
        <w:t>违约责任</w:t>
      </w:r>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p w14:paraId="1A783FE2" w14:textId="77777777" w:rsidR="00166BB1" w:rsidRDefault="00166BB1">
      <w:pPr>
        <w:spacing w:line="360" w:lineRule="auto"/>
        <w:ind w:firstLineChars="200" w:firstLine="480"/>
        <w:rPr>
          <w:bCs/>
          <w:sz w:val="24"/>
        </w:rPr>
      </w:pPr>
    </w:p>
    <w:p w14:paraId="1237872A" w14:textId="77777777" w:rsidR="00166BB1" w:rsidRDefault="00166BB1">
      <w:pPr>
        <w:adjustRightInd w:val="0"/>
        <w:snapToGrid w:val="0"/>
        <w:spacing w:line="360" w:lineRule="auto"/>
        <w:ind w:firstLineChars="200" w:firstLine="480"/>
        <w:rPr>
          <w:rFonts w:ascii="宋体" w:hAnsi="宋体"/>
          <w:b/>
          <w:bCs/>
          <w:sz w:val="24"/>
        </w:rPr>
      </w:pPr>
      <w:r>
        <w:rPr>
          <w:rFonts w:ascii="宋体" w:hAnsi="宋体" w:hint="eastAsia"/>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Pr>
          <w:rFonts w:ascii="宋体" w:hAnsi="宋体" w:hint="eastAsia"/>
          <w:b/>
          <w:bCs/>
          <w:sz w:val="24"/>
        </w:rPr>
        <w:t>但是发生下列情况的，当事人免责：</w:t>
      </w:r>
    </w:p>
    <w:p w14:paraId="7749035D" w14:textId="77777777" w:rsidR="00166BB1" w:rsidRDefault="00166BB1">
      <w:pPr>
        <w:adjustRightInd w:val="0"/>
        <w:snapToGrid w:val="0"/>
        <w:spacing w:line="360" w:lineRule="auto"/>
        <w:ind w:firstLineChars="200" w:firstLine="482"/>
        <w:rPr>
          <w:rFonts w:ascii="宋体" w:hAnsi="宋体"/>
          <w:b/>
          <w:bCs/>
          <w:sz w:val="24"/>
        </w:rPr>
      </w:pPr>
      <w:r>
        <w:rPr>
          <w:rFonts w:ascii="宋体" w:hAnsi="宋体"/>
          <w:b/>
          <w:bCs/>
          <w:sz w:val="24"/>
        </w:rPr>
        <w:t>1、不可抗力；</w:t>
      </w:r>
    </w:p>
    <w:p w14:paraId="4712EDF6" w14:textId="77777777" w:rsidR="00166BB1" w:rsidRDefault="00166BB1">
      <w:pPr>
        <w:adjustRightInd w:val="0"/>
        <w:snapToGrid w:val="0"/>
        <w:spacing w:line="360" w:lineRule="auto"/>
        <w:ind w:firstLineChars="200" w:firstLine="482"/>
        <w:rPr>
          <w:rFonts w:ascii="宋体" w:hAnsi="宋体"/>
          <w:b/>
          <w:bCs/>
          <w:sz w:val="24"/>
        </w:rPr>
      </w:pPr>
      <w:r>
        <w:rPr>
          <w:rFonts w:ascii="宋体" w:hAnsi="宋体"/>
          <w:b/>
          <w:bCs/>
          <w:sz w:val="24"/>
        </w:rPr>
        <w:t>2、基金管理人和/或基金托管人按照当时有效的法律法规或中国证监会等监管机构的规定作为或不作为而造成的损失等；</w:t>
      </w:r>
    </w:p>
    <w:p w14:paraId="3C3FD4DA" w14:textId="77777777" w:rsidR="00166BB1" w:rsidRDefault="00166BB1">
      <w:pPr>
        <w:adjustRightInd w:val="0"/>
        <w:snapToGrid w:val="0"/>
        <w:spacing w:line="360" w:lineRule="auto"/>
        <w:ind w:firstLineChars="200" w:firstLine="482"/>
        <w:rPr>
          <w:rFonts w:ascii="宋体" w:hAnsi="宋体"/>
          <w:b/>
          <w:bCs/>
          <w:sz w:val="24"/>
        </w:rPr>
      </w:pPr>
      <w:r>
        <w:rPr>
          <w:rFonts w:ascii="宋体" w:hAnsi="宋体"/>
          <w:b/>
          <w:bCs/>
          <w:sz w:val="24"/>
        </w:rPr>
        <w:t>3、在没有过错的情况下，基金管理人由于按照基金合同</w:t>
      </w:r>
      <w:r>
        <w:rPr>
          <w:rFonts w:ascii="宋体" w:hAnsi="宋体" w:hint="eastAsia"/>
          <w:b/>
          <w:bCs/>
          <w:sz w:val="24"/>
        </w:rPr>
        <w:t>约定的投资原则行使或不行使其投资权而造成的损失等。</w:t>
      </w:r>
    </w:p>
    <w:p w14:paraId="77D58AE8"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二、在发生一方或多方违约的情况下，在最大限度地保护基金份额持有人利益的前提下，基金合同能够继续履行的应当继续履行。非违约方当事人在职责范围内有义务及时采取必要的措施，尽力防止损失的扩大。没有采取适当措施致使损失进一步扩大的，不得就扩大的损失要求赔偿。非违约方因防止损失扩大而支出的合理费用由违约方承担。</w:t>
      </w:r>
    </w:p>
    <w:p w14:paraId="563ECCB5" w14:textId="77777777" w:rsidR="00166BB1" w:rsidRDefault="00166BB1">
      <w:pPr>
        <w:adjustRightInd w:val="0"/>
        <w:snapToGrid w:val="0"/>
        <w:spacing w:line="360" w:lineRule="auto"/>
        <w:ind w:firstLineChars="200" w:firstLine="482"/>
        <w:rPr>
          <w:rFonts w:ascii="宋体" w:hAnsi="宋体"/>
          <w:b/>
          <w:bCs/>
          <w:sz w:val="24"/>
        </w:rPr>
      </w:pPr>
      <w:r>
        <w:rPr>
          <w:rFonts w:ascii="宋体" w:hAnsi="宋体" w:hint="eastAsia"/>
          <w:b/>
          <w:bCs/>
          <w:sz w:val="24"/>
        </w:rPr>
        <w:t>三、由于基金管理人、基金托管人不可控制的因素导致业务出现差错，基金管理人和基金托管人虽然已经采取必要、适当、合理的措施进行检查，但是未能发现错误或未能避免错误发生的，由此造成基金财产或投资人损失，基金管理人和基金托管人免除赔偿责任。但是基金管理人和基金托管人应积极采取必要的措施消除或减轻由此造成的影响。</w:t>
      </w:r>
    </w:p>
    <w:p w14:paraId="42402148" w14:textId="77777777" w:rsidR="00166BB1" w:rsidRDefault="00166BB1">
      <w:pPr>
        <w:pStyle w:val="HD"/>
      </w:pPr>
    </w:p>
    <w:p w14:paraId="3149A5B8" w14:textId="77777777" w:rsidR="00166BB1" w:rsidRDefault="00166BB1">
      <w:pPr>
        <w:spacing w:line="360" w:lineRule="auto"/>
        <w:ind w:firstLineChars="200" w:firstLine="480"/>
        <w:rPr>
          <w:bCs/>
          <w:sz w:val="24"/>
        </w:rPr>
      </w:pPr>
    </w:p>
    <w:p w14:paraId="71674029" w14:textId="77777777" w:rsidR="00166BB1" w:rsidRDefault="00166BB1">
      <w:pPr>
        <w:adjustRightInd w:val="0"/>
        <w:snapToGrid w:val="0"/>
        <w:spacing w:line="360" w:lineRule="auto"/>
        <w:ind w:firstLineChars="200" w:firstLine="480"/>
        <w:rPr>
          <w:rFonts w:ascii="宋体" w:hAnsi="宋体"/>
          <w:bCs/>
          <w:sz w:val="24"/>
        </w:rPr>
      </w:pPr>
    </w:p>
    <w:p w14:paraId="21154734" w14:textId="77777777" w:rsidR="00166BB1" w:rsidRDefault="00166BB1">
      <w:pPr>
        <w:pStyle w:val="1"/>
        <w:spacing w:before="0" w:after="0"/>
        <w:jc w:val="center"/>
        <w:rPr>
          <w:rFonts w:ascii="Times New Roman"/>
          <w:color w:val="auto"/>
          <w:sz w:val="32"/>
        </w:rPr>
      </w:pPr>
      <w:r>
        <w:rPr>
          <w:rFonts w:ascii="Times New Roman"/>
          <w:b w:val="0"/>
          <w:bCs/>
          <w:color w:val="auto"/>
        </w:rPr>
        <w:br w:type="page"/>
      </w:r>
      <w:bookmarkStart w:id="445" w:name="_Toc123102468"/>
      <w:bookmarkStart w:id="446" w:name="_Toc30350"/>
      <w:bookmarkStart w:id="447" w:name="_Toc123051467"/>
      <w:bookmarkStart w:id="448" w:name="_Toc6202"/>
      <w:bookmarkStart w:id="449" w:name="_Toc141703902"/>
      <w:bookmarkStart w:id="450" w:name="_Toc89430576"/>
      <w:bookmarkStart w:id="451" w:name="_Toc3319"/>
      <w:bookmarkStart w:id="452" w:name="_Toc531676888"/>
      <w:bookmarkStart w:id="453" w:name="_Toc8636"/>
      <w:bookmarkStart w:id="454" w:name="_Toc98560366"/>
      <w:bookmarkStart w:id="455" w:name="_Toc7288"/>
      <w:bookmarkStart w:id="456" w:name="_Toc1790"/>
      <w:bookmarkStart w:id="457" w:name="_Toc139991751"/>
      <w:bookmarkStart w:id="458" w:name="_Toc23999"/>
      <w:bookmarkStart w:id="459" w:name="_Toc123112249"/>
      <w:bookmarkStart w:id="460" w:name="_Toc25651"/>
      <w:bookmarkStart w:id="461" w:name="_Toc24923"/>
      <w:bookmarkStart w:id="462" w:name="_Toc21983"/>
      <w:r>
        <w:rPr>
          <w:rFonts w:ascii="Times New Roman"/>
          <w:color w:val="auto"/>
          <w:sz w:val="32"/>
        </w:rPr>
        <w:lastRenderedPageBreak/>
        <w:t>第二十</w:t>
      </w:r>
      <w:r>
        <w:rPr>
          <w:rFonts w:ascii="Times New Roman" w:hint="eastAsia"/>
          <w:color w:val="auto"/>
          <w:sz w:val="32"/>
        </w:rPr>
        <w:t>一</w:t>
      </w:r>
      <w:r>
        <w:rPr>
          <w:rFonts w:ascii="Times New Roman"/>
          <w:color w:val="auto"/>
          <w:sz w:val="32"/>
        </w:rPr>
        <w:t>部分</w:t>
      </w:r>
      <w:r>
        <w:rPr>
          <w:rFonts w:ascii="Times New Roman" w:hint="eastAsia"/>
          <w:color w:val="auto"/>
          <w:sz w:val="32"/>
        </w:rPr>
        <w:t xml:space="preserve">  </w:t>
      </w:r>
      <w:r>
        <w:rPr>
          <w:rFonts w:ascii="Times New Roman"/>
          <w:color w:val="auto"/>
          <w:sz w:val="32"/>
        </w:rPr>
        <w:t>争议的处理和适用的法律</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p>
    <w:p w14:paraId="4859555B" w14:textId="77777777" w:rsidR="00166BB1" w:rsidRDefault="00166BB1">
      <w:pPr>
        <w:spacing w:line="360" w:lineRule="auto"/>
        <w:ind w:firstLineChars="200" w:firstLine="480"/>
        <w:rPr>
          <w:bCs/>
          <w:sz w:val="24"/>
        </w:rPr>
      </w:pPr>
    </w:p>
    <w:p w14:paraId="262C5821" w14:textId="77777777" w:rsidR="00166BB1" w:rsidRDefault="00166BB1">
      <w:pPr>
        <w:adjustRightInd w:val="0"/>
        <w:snapToGrid w:val="0"/>
        <w:spacing w:line="360" w:lineRule="auto"/>
        <w:ind w:firstLineChars="200" w:firstLine="482"/>
        <w:rPr>
          <w:b/>
          <w:bCs/>
          <w:sz w:val="24"/>
        </w:rPr>
      </w:pPr>
      <w:r>
        <w:rPr>
          <w:rFonts w:hint="eastAsia"/>
          <w:b/>
          <w:bCs/>
          <w:sz w:val="24"/>
        </w:rPr>
        <w:t>对于因基金合同的订立、内容、履行和解释或与基金合同有关的争议，基金合同当事人应尽量通过协商、调解途径解决。不愿或者不能通过协商、调解解决的，任何一方均有权将争议提交中国国际经济贸易仲裁委员会，仲裁地点为北京市，按照中国国际经济贸易仲裁委员会届时有效的仲裁规则进行仲裁。仲裁裁决是终局的，对各方当事人均有约束力，仲裁费由败诉方承担，除非仲裁裁决另有决定。</w:t>
      </w:r>
    </w:p>
    <w:p w14:paraId="0E3DBC30" w14:textId="77777777" w:rsidR="00166BB1" w:rsidRDefault="00166BB1">
      <w:pPr>
        <w:adjustRightInd w:val="0"/>
        <w:snapToGrid w:val="0"/>
        <w:spacing w:line="360" w:lineRule="auto"/>
        <w:ind w:firstLineChars="200" w:firstLine="480"/>
        <w:rPr>
          <w:bCs/>
          <w:sz w:val="24"/>
        </w:rPr>
      </w:pPr>
      <w:r>
        <w:rPr>
          <w:rFonts w:hint="eastAsia"/>
          <w:bCs/>
          <w:sz w:val="24"/>
        </w:rPr>
        <w:t>争议处理期间，基金管理人及基金托管人应恪守各自的职责，继续忠实、勤勉、尽责地履行基金合同约定的义务，维护基金份额持有人的合法权益。</w:t>
      </w:r>
    </w:p>
    <w:p w14:paraId="71693AE0" w14:textId="77777777" w:rsidR="00166BB1" w:rsidRDefault="00166BB1">
      <w:pPr>
        <w:adjustRightInd w:val="0"/>
        <w:snapToGrid w:val="0"/>
        <w:spacing w:line="360" w:lineRule="auto"/>
        <w:ind w:firstLineChars="200" w:firstLine="480"/>
        <w:rPr>
          <w:bCs/>
          <w:sz w:val="24"/>
        </w:rPr>
      </w:pPr>
      <w:r>
        <w:rPr>
          <w:rFonts w:hint="eastAsia"/>
          <w:bCs/>
          <w:sz w:val="24"/>
        </w:rPr>
        <w:t>本基金合同受中国法律（为本基金合同之目的，不包括香港特别行政区、澳门特别行政区和台湾地区法律）管辖，并按其解释。</w:t>
      </w:r>
    </w:p>
    <w:p w14:paraId="6D04A17A" w14:textId="77777777" w:rsidR="00166BB1" w:rsidRDefault="00166BB1">
      <w:pPr>
        <w:adjustRightInd w:val="0"/>
        <w:snapToGrid w:val="0"/>
        <w:spacing w:line="360" w:lineRule="auto"/>
        <w:ind w:firstLineChars="200" w:firstLine="480"/>
        <w:jc w:val="center"/>
        <w:rPr>
          <w:bCs/>
          <w:sz w:val="24"/>
        </w:rPr>
      </w:pPr>
    </w:p>
    <w:p w14:paraId="65B3BA22" w14:textId="77777777" w:rsidR="00166BB1" w:rsidRDefault="00166BB1">
      <w:pPr>
        <w:pStyle w:val="1"/>
        <w:spacing w:before="0" w:after="0"/>
        <w:jc w:val="center"/>
        <w:rPr>
          <w:rFonts w:ascii="Times New Roman"/>
          <w:color w:val="auto"/>
          <w:sz w:val="32"/>
        </w:rPr>
      </w:pPr>
      <w:r>
        <w:rPr>
          <w:bCs/>
        </w:rPr>
        <w:br w:type="page"/>
      </w:r>
      <w:bookmarkStart w:id="463" w:name="_Toc29505"/>
      <w:bookmarkStart w:id="464" w:name="_Toc123051468"/>
      <w:bookmarkStart w:id="465" w:name="_Toc31966"/>
      <w:bookmarkStart w:id="466" w:name="_Toc8454"/>
      <w:bookmarkStart w:id="467" w:name="_Toc20350"/>
      <w:bookmarkStart w:id="468" w:name="_Toc123102469"/>
      <w:bookmarkStart w:id="469" w:name="_Toc8703"/>
      <w:bookmarkStart w:id="470" w:name="_Toc123112250"/>
      <w:bookmarkStart w:id="471" w:name="_Toc2532"/>
      <w:bookmarkStart w:id="472" w:name="_Toc484"/>
      <w:bookmarkStart w:id="473" w:name="_Toc23991"/>
      <w:bookmarkStart w:id="474" w:name="_Toc139991752"/>
      <w:bookmarkStart w:id="475" w:name="_Toc26461"/>
      <w:bookmarkStart w:id="476" w:name="_Toc11618"/>
      <w:bookmarkStart w:id="477" w:name="_Toc89430577"/>
      <w:bookmarkStart w:id="478" w:name="_Toc141703903"/>
      <w:r>
        <w:rPr>
          <w:rFonts w:ascii="Times New Roman"/>
          <w:color w:val="auto"/>
          <w:sz w:val="32"/>
        </w:rPr>
        <w:lastRenderedPageBreak/>
        <w:t>第二十</w:t>
      </w:r>
      <w:r>
        <w:rPr>
          <w:rFonts w:ascii="Times New Roman" w:hint="eastAsia"/>
          <w:color w:val="auto"/>
          <w:sz w:val="32"/>
        </w:rPr>
        <w:t>二</w:t>
      </w:r>
      <w:r>
        <w:rPr>
          <w:rFonts w:ascii="Times New Roman"/>
          <w:color w:val="auto"/>
          <w:sz w:val="32"/>
        </w:rPr>
        <w:t>部分</w:t>
      </w:r>
      <w:r>
        <w:rPr>
          <w:rFonts w:ascii="Times New Roman" w:hint="eastAsia"/>
          <w:color w:val="auto"/>
          <w:sz w:val="32"/>
        </w:rPr>
        <w:t xml:space="preserve">  </w:t>
      </w:r>
      <w:r>
        <w:rPr>
          <w:rFonts w:ascii="Times New Roman"/>
          <w:color w:val="auto"/>
          <w:sz w:val="32"/>
        </w:rPr>
        <w:t>基金合同的效力</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3AF88B16" w14:textId="77777777" w:rsidR="00166BB1" w:rsidRDefault="00166BB1">
      <w:pPr>
        <w:spacing w:line="360" w:lineRule="auto"/>
        <w:ind w:firstLineChars="200" w:firstLine="480"/>
        <w:rPr>
          <w:bCs/>
          <w:sz w:val="24"/>
        </w:rPr>
      </w:pPr>
    </w:p>
    <w:p w14:paraId="6BFC9193"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基金合同是约定基金合同当事人之间权利义务关系的法律文件。</w:t>
      </w:r>
    </w:p>
    <w:p w14:paraId="53699249" w14:textId="77777777" w:rsidR="00166BB1" w:rsidRDefault="00166BB1">
      <w:pPr>
        <w:adjustRightInd w:val="0"/>
        <w:snapToGrid w:val="0"/>
        <w:spacing w:line="360" w:lineRule="auto"/>
        <w:ind w:firstLineChars="200" w:firstLine="480"/>
        <w:rPr>
          <w:rFonts w:ascii="宋体" w:hAnsi="宋体"/>
          <w:bCs/>
          <w:sz w:val="24"/>
        </w:rPr>
      </w:pPr>
      <w:r>
        <w:rPr>
          <w:rFonts w:ascii="宋体" w:hAnsi="宋体" w:hint="eastAsia"/>
          <w:bCs/>
          <w:sz w:val="24"/>
        </w:rPr>
        <w:t>1、基金合同经基金管理人、基金托管人双方加盖公章或合同专用章以及双方法定代表人或授权代表签字或盖章，并在募集结束后经基金管理人向中国证监会办理基金备案手续，并经中国证监会书面确认后生效。</w:t>
      </w:r>
    </w:p>
    <w:p w14:paraId="141DEB4A"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2、基金合同的有效期自其生效之日起至基金财产清算</w:t>
      </w:r>
      <w:r>
        <w:rPr>
          <w:rFonts w:ascii="宋体" w:hAnsi="宋体" w:hint="eastAsia"/>
          <w:bCs/>
          <w:sz w:val="24"/>
        </w:rPr>
        <w:t>结果</w:t>
      </w:r>
      <w:r>
        <w:rPr>
          <w:rFonts w:ascii="宋体" w:hAnsi="宋体"/>
          <w:bCs/>
          <w:sz w:val="24"/>
        </w:rPr>
        <w:t>报中国证监会</w:t>
      </w:r>
      <w:r>
        <w:rPr>
          <w:rFonts w:ascii="宋体" w:hAnsi="宋体" w:hint="eastAsia"/>
          <w:bCs/>
          <w:sz w:val="24"/>
        </w:rPr>
        <w:t>备案</w:t>
      </w:r>
      <w:r>
        <w:rPr>
          <w:rFonts w:ascii="宋体" w:hAnsi="宋体"/>
          <w:bCs/>
          <w:sz w:val="24"/>
        </w:rPr>
        <w:t>并公告之日止。</w:t>
      </w:r>
    </w:p>
    <w:p w14:paraId="5AD83785"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3、基金合同自生效之日起对包括基金管理人、基金托管人和基金份额持有人在内的基金合同各方当事人具有同等的法律约束力。</w:t>
      </w:r>
    </w:p>
    <w:p w14:paraId="33D6C7A7" w14:textId="77777777" w:rsidR="00166BB1" w:rsidRDefault="00166BB1">
      <w:pPr>
        <w:adjustRightInd w:val="0"/>
        <w:snapToGrid w:val="0"/>
        <w:spacing w:line="360" w:lineRule="auto"/>
        <w:ind w:firstLineChars="200" w:firstLine="480"/>
        <w:rPr>
          <w:rFonts w:ascii="宋体" w:hAnsi="宋体"/>
          <w:bCs/>
          <w:sz w:val="24"/>
        </w:rPr>
      </w:pPr>
      <w:r>
        <w:rPr>
          <w:rFonts w:ascii="宋体" w:hAnsi="宋体"/>
          <w:bCs/>
          <w:sz w:val="24"/>
        </w:rPr>
        <w:t>4、</w:t>
      </w:r>
      <w:r>
        <w:rPr>
          <w:rFonts w:ascii="宋体" w:hAnsi="宋体" w:hint="eastAsia"/>
          <w:bCs/>
          <w:sz w:val="24"/>
        </w:rPr>
        <w:t>《</w:t>
      </w:r>
      <w:r>
        <w:rPr>
          <w:rFonts w:ascii="宋体" w:hAnsi="宋体"/>
          <w:bCs/>
          <w:sz w:val="24"/>
        </w:rPr>
        <w:t>基金合同</w:t>
      </w:r>
      <w:r>
        <w:rPr>
          <w:rFonts w:ascii="宋体" w:hAnsi="宋体" w:hint="eastAsia"/>
          <w:bCs/>
          <w:sz w:val="24"/>
        </w:rPr>
        <w:t>》</w:t>
      </w:r>
      <w:r>
        <w:rPr>
          <w:rFonts w:ascii="宋体" w:hAnsi="宋体"/>
          <w:bCs/>
          <w:sz w:val="24"/>
        </w:rPr>
        <w:t>正本一式</w:t>
      </w:r>
      <w:r>
        <w:rPr>
          <w:rFonts w:ascii="宋体" w:hAnsi="宋体" w:hint="eastAsia"/>
          <w:bCs/>
          <w:sz w:val="24"/>
        </w:rPr>
        <w:t>三</w:t>
      </w:r>
      <w:r>
        <w:rPr>
          <w:rFonts w:ascii="宋体" w:hAnsi="宋体"/>
          <w:bCs/>
          <w:sz w:val="24"/>
        </w:rPr>
        <w:t>份，除上报有关监管机构</w:t>
      </w:r>
      <w:r>
        <w:rPr>
          <w:rFonts w:ascii="宋体" w:hAnsi="宋体" w:hint="eastAsia"/>
          <w:bCs/>
          <w:sz w:val="24"/>
        </w:rPr>
        <w:t>一</w:t>
      </w:r>
      <w:r>
        <w:rPr>
          <w:rFonts w:ascii="宋体" w:hAnsi="宋体"/>
          <w:bCs/>
          <w:sz w:val="24"/>
        </w:rPr>
        <w:t>份外，基金管理人、基金托管人各持有</w:t>
      </w:r>
      <w:r>
        <w:rPr>
          <w:rFonts w:ascii="宋体" w:hAnsi="宋体" w:hint="eastAsia"/>
          <w:bCs/>
          <w:sz w:val="24"/>
        </w:rPr>
        <w:t>一</w:t>
      </w:r>
      <w:r>
        <w:rPr>
          <w:rFonts w:ascii="宋体" w:hAnsi="宋体"/>
          <w:bCs/>
          <w:sz w:val="24"/>
        </w:rPr>
        <w:t>份，每份具有同等的法律效力。</w:t>
      </w:r>
    </w:p>
    <w:p w14:paraId="51B61F71" w14:textId="77777777" w:rsidR="00166BB1" w:rsidRDefault="00166BB1">
      <w:pPr>
        <w:adjustRightInd w:val="0"/>
        <w:snapToGrid w:val="0"/>
        <w:spacing w:line="360" w:lineRule="auto"/>
        <w:ind w:firstLineChars="200" w:firstLine="480"/>
        <w:rPr>
          <w:bCs/>
          <w:sz w:val="24"/>
        </w:rPr>
      </w:pPr>
      <w:r>
        <w:rPr>
          <w:rFonts w:ascii="宋体" w:hAnsi="宋体"/>
          <w:bCs/>
          <w:sz w:val="24"/>
        </w:rPr>
        <w:t>5、基金合同可印制成册，供投资</w:t>
      </w:r>
      <w:r>
        <w:rPr>
          <w:rFonts w:ascii="宋体" w:hAnsi="宋体" w:hint="eastAsia"/>
          <w:bCs/>
          <w:sz w:val="24"/>
        </w:rPr>
        <w:t>人</w:t>
      </w:r>
      <w:r>
        <w:rPr>
          <w:rFonts w:ascii="宋体" w:hAnsi="宋体"/>
          <w:bCs/>
          <w:sz w:val="24"/>
        </w:rPr>
        <w:t>在基金管理人、基金托管人、销售机构的办公场所和营业场所查阅。</w:t>
      </w:r>
    </w:p>
    <w:p w14:paraId="52E120B8" w14:textId="77777777" w:rsidR="00166BB1" w:rsidRDefault="00166BB1">
      <w:pPr>
        <w:pStyle w:val="1"/>
        <w:spacing w:before="0" w:after="0"/>
        <w:jc w:val="center"/>
        <w:rPr>
          <w:rFonts w:ascii="Times New Roman"/>
          <w:color w:val="auto"/>
          <w:sz w:val="32"/>
        </w:rPr>
      </w:pPr>
      <w:r>
        <w:rPr>
          <w:rFonts w:ascii="Times New Roman"/>
          <w:b w:val="0"/>
          <w:bCs/>
          <w:color w:val="auto"/>
        </w:rPr>
        <w:br w:type="page"/>
      </w:r>
      <w:bookmarkStart w:id="479" w:name="_Toc89430578"/>
      <w:bookmarkStart w:id="480" w:name="_Toc21726"/>
      <w:bookmarkStart w:id="481" w:name="_Toc531676889"/>
      <w:r>
        <w:rPr>
          <w:rFonts w:ascii="Times New Roman" w:hint="eastAsia"/>
          <w:color w:val="auto"/>
          <w:sz w:val="32"/>
        </w:rPr>
        <w:lastRenderedPageBreak/>
        <w:t>第二十三部分</w:t>
      </w:r>
      <w:r>
        <w:rPr>
          <w:rFonts w:ascii="Times New Roman" w:hint="eastAsia"/>
          <w:color w:val="auto"/>
          <w:sz w:val="32"/>
        </w:rPr>
        <w:t xml:space="preserve">  </w:t>
      </w:r>
      <w:r>
        <w:rPr>
          <w:rFonts w:ascii="Times New Roman" w:hint="eastAsia"/>
          <w:color w:val="auto"/>
          <w:sz w:val="32"/>
        </w:rPr>
        <w:t>其他事项</w:t>
      </w:r>
      <w:bookmarkEnd w:id="479"/>
      <w:bookmarkEnd w:id="480"/>
      <w:bookmarkEnd w:id="481"/>
    </w:p>
    <w:p w14:paraId="21B1178D" w14:textId="77777777" w:rsidR="00166BB1" w:rsidRDefault="00166BB1">
      <w:pPr>
        <w:adjustRightInd w:val="0"/>
        <w:snapToGrid w:val="0"/>
        <w:spacing w:line="360" w:lineRule="auto"/>
        <w:ind w:firstLineChars="200" w:firstLine="480"/>
        <w:rPr>
          <w:rFonts w:ascii="宋体" w:hAnsi="宋体"/>
          <w:sz w:val="24"/>
        </w:rPr>
      </w:pPr>
    </w:p>
    <w:p w14:paraId="21E1347F" w14:textId="77777777" w:rsidR="00166BB1" w:rsidRDefault="00166BB1">
      <w:pPr>
        <w:adjustRightInd w:val="0"/>
        <w:snapToGrid w:val="0"/>
        <w:spacing w:line="360" w:lineRule="auto"/>
        <w:ind w:firstLineChars="200" w:firstLine="480"/>
        <w:rPr>
          <w:rFonts w:ascii="宋体" w:hAnsi="宋体"/>
          <w:sz w:val="24"/>
        </w:rPr>
      </w:pPr>
      <w:r>
        <w:rPr>
          <w:rFonts w:ascii="宋体" w:hAnsi="宋体" w:hint="eastAsia"/>
          <w:sz w:val="24"/>
        </w:rPr>
        <w:t>基金合同如有未尽事宜，由基金合同当事人各方按有关法律法规协商解决。</w:t>
      </w:r>
    </w:p>
    <w:p w14:paraId="57A7AF6C" w14:textId="77777777" w:rsidR="00166BB1" w:rsidRDefault="00166BB1">
      <w:pPr>
        <w:adjustRightInd w:val="0"/>
        <w:snapToGrid w:val="0"/>
        <w:spacing w:line="360" w:lineRule="auto"/>
        <w:ind w:firstLineChars="200" w:firstLine="480"/>
        <w:rPr>
          <w:rFonts w:ascii="宋体" w:hAnsi="宋体"/>
          <w:sz w:val="24"/>
        </w:rPr>
      </w:pPr>
    </w:p>
    <w:p w14:paraId="5701A06B" w14:textId="77777777" w:rsidR="00166BB1" w:rsidRDefault="00166BB1">
      <w:pPr>
        <w:pStyle w:val="1"/>
        <w:spacing w:before="0" w:after="0"/>
        <w:jc w:val="center"/>
        <w:rPr>
          <w:rFonts w:ascii="Times New Roman"/>
          <w:color w:val="auto"/>
          <w:sz w:val="32"/>
        </w:rPr>
      </w:pPr>
      <w:bookmarkStart w:id="482" w:name="_Toc7437"/>
      <w:bookmarkStart w:id="483" w:name="_Toc32355"/>
      <w:bookmarkStart w:id="484" w:name="_Toc17263"/>
      <w:bookmarkStart w:id="485" w:name="_Toc12499"/>
      <w:bookmarkStart w:id="486" w:name="_Toc9054"/>
      <w:bookmarkStart w:id="487" w:name="_Toc15664"/>
      <w:bookmarkStart w:id="488" w:name="_Toc141703905"/>
      <w:bookmarkStart w:id="489" w:name="_Toc5108"/>
      <w:bookmarkStart w:id="490" w:name="_Toc20098"/>
      <w:bookmarkStart w:id="491" w:name="_Toc21122"/>
      <w:bookmarkStart w:id="492" w:name="_Toc1360"/>
      <w:r>
        <w:rPr>
          <w:rFonts w:ascii="Times New Roman"/>
          <w:color w:val="auto"/>
          <w:sz w:val="32"/>
        </w:rPr>
        <w:br w:type="page"/>
      </w:r>
      <w:bookmarkStart w:id="493" w:name="_Toc89430579"/>
      <w:bookmarkStart w:id="494" w:name="_Toc531676890"/>
      <w:bookmarkStart w:id="495" w:name="OLE_LINK3"/>
      <w:bookmarkStart w:id="496" w:name="OLE_LINK4"/>
      <w:r>
        <w:rPr>
          <w:rFonts w:ascii="Times New Roman"/>
          <w:color w:val="auto"/>
          <w:sz w:val="32"/>
        </w:rPr>
        <w:lastRenderedPageBreak/>
        <w:t>第二十</w:t>
      </w:r>
      <w:r>
        <w:rPr>
          <w:rFonts w:ascii="Times New Roman" w:hint="eastAsia"/>
          <w:color w:val="auto"/>
          <w:sz w:val="32"/>
        </w:rPr>
        <w:t>四</w:t>
      </w:r>
      <w:r>
        <w:rPr>
          <w:rFonts w:ascii="Times New Roman"/>
          <w:color w:val="auto"/>
          <w:sz w:val="32"/>
        </w:rPr>
        <w:t>部分</w:t>
      </w:r>
      <w:r>
        <w:rPr>
          <w:rFonts w:ascii="Times New Roman" w:hint="eastAsia"/>
          <w:color w:val="auto"/>
          <w:sz w:val="32"/>
        </w:rPr>
        <w:t xml:space="preserve">  </w:t>
      </w:r>
      <w:r>
        <w:rPr>
          <w:rFonts w:ascii="Times New Roman"/>
          <w:color w:val="auto"/>
          <w:sz w:val="32"/>
        </w:rPr>
        <w:t>基金合同内容摘要</w:t>
      </w:r>
      <w:bookmarkEnd w:id="64"/>
      <w:bookmarkEnd w:id="65"/>
      <w:bookmarkEnd w:id="482"/>
      <w:bookmarkEnd w:id="483"/>
      <w:bookmarkEnd w:id="484"/>
      <w:bookmarkEnd w:id="485"/>
      <w:bookmarkEnd w:id="486"/>
      <w:bookmarkEnd w:id="487"/>
      <w:bookmarkEnd w:id="488"/>
      <w:bookmarkEnd w:id="489"/>
      <w:bookmarkEnd w:id="490"/>
      <w:bookmarkEnd w:id="491"/>
      <w:bookmarkEnd w:id="492"/>
      <w:bookmarkEnd w:id="493"/>
      <w:bookmarkEnd w:id="494"/>
    </w:p>
    <w:p w14:paraId="74740F12" w14:textId="77777777" w:rsidR="00166BB1" w:rsidRDefault="00166BB1">
      <w:pPr>
        <w:spacing w:line="360" w:lineRule="auto"/>
        <w:ind w:firstLineChars="200" w:firstLine="480"/>
        <w:rPr>
          <w:bCs/>
          <w:sz w:val="24"/>
          <w:shd w:val="pct10" w:color="auto" w:fill="FFFFFF"/>
        </w:rPr>
      </w:pPr>
    </w:p>
    <w:p w14:paraId="23731C7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一、基金管理人、基金托管人和基金份额持有人的权利、义务</w:t>
      </w:r>
    </w:p>
    <w:p w14:paraId="12174BC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（一）基金管理人的权利与义务</w:t>
      </w:r>
    </w:p>
    <w:p w14:paraId="22C40A7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1、基金管理人简况</w:t>
      </w:r>
    </w:p>
    <w:p w14:paraId="55D2F90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名称：银华基金管理股份有限公司</w:t>
      </w:r>
    </w:p>
    <w:p w14:paraId="19A98F4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住所：深圳市福田区深南大道6008号特区报业大厦19层</w:t>
      </w:r>
    </w:p>
    <w:p w14:paraId="18E9DCE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办公地址：北京市东城区东长安街1号东方</w:t>
      </w:r>
      <w:proofErr w:type="gramStart"/>
      <w:r>
        <w:rPr>
          <w:rFonts w:ascii="宋体" w:hAnsi="宋体" w:hint="eastAsia"/>
          <w:bCs/>
          <w:sz w:val="24"/>
          <w:szCs w:val="24"/>
        </w:rPr>
        <w:t>广场东方</w:t>
      </w:r>
      <w:proofErr w:type="gramEnd"/>
      <w:r>
        <w:rPr>
          <w:rFonts w:ascii="宋体" w:hAnsi="宋体" w:hint="eastAsia"/>
          <w:bCs/>
          <w:sz w:val="24"/>
          <w:szCs w:val="24"/>
        </w:rPr>
        <w:t>经贸城C2办公楼15层</w:t>
      </w:r>
    </w:p>
    <w:p w14:paraId="5ECB478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法定代表人：王珠林</w:t>
      </w:r>
    </w:p>
    <w:p w14:paraId="3784E5A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设立日期：2001年5月28日</w:t>
      </w:r>
    </w:p>
    <w:p w14:paraId="006C2EE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批准设立机关及批准设立文号：中国证监会证</w:t>
      </w:r>
      <w:proofErr w:type="gramStart"/>
      <w:r>
        <w:rPr>
          <w:rFonts w:ascii="宋体" w:hAnsi="宋体" w:hint="eastAsia"/>
          <w:bCs/>
          <w:sz w:val="24"/>
          <w:szCs w:val="24"/>
        </w:rPr>
        <w:t>监基金字</w:t>
      </w:r>
      <w:proofErr w:type="gramEnd"/>
      <w:r>
        <w:rPr>
          <w:rFonts w:ascii="宋体" w:hAnsi="宋体" w:hint="eastAsia"/>
          <w:bCs/>
          <w:sz w:val="24"/>
          <w:szCs w:val="24"/>
        </w:rPr>
        <w:t>［2001］7号</w:t>
      </w:r>
    </w:p>
    <w:p w14:paraId="51506D4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组织形式：股份有限公司</w:t>
      </w:r>
    </w:p>
    <w:p w14:paraId="157DCF7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注册资本：贰亿贰仟贰佰贰拾万元人民币</w:t>
      </w:r>
    </w:p>
    <w:p w14:paraId="168D82F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存续期限：持续经营</w:t>
      </w:r>
    </w:p>
    <w:p w14:paraId="4DE5288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联系电话：010-58163000</w:t>
      </w:r>
    </w:p>
    <w:p w14:paraId="6B516A4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2、根据《基金法》、《运作办法》及其他有关规定，基金管理人的权利包括但不限于：</w:t>
      </w:r>
    </w:p>
    <w:p w14:paraId="2D66594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（1）依法募集</w:t>
      </w:r>
      <w:r>
        <w:rPr>
          <w:rFonts w:ascii="宋体" w:hAnsi="宋体" w:hint="eastAsia"/>
          <w:bCs/>
          <w:sz w:val="24"/>
          <w:szCs w:val="24"/>
        </w:rPr>
        <w:t>资</w:t>
      </w:r>
      <w:r>
        <w:rPr>
          <w:rFonts w:ascii="宋体" w:hAnsi="宋体"/>
          <w:bCs/>
          <w:sz w:val="24"/>
          <w:szCs w:val="24"/>
        </w:rPr>
        <w:t>金；</w:t>
      </w:r>
    </w:p>
    <w:p w14:paraId="4A7C5AB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（2）自基金合同生效之日起，根据法律法规和基金合同独立运用并管理基金财产；</w:t>
      </w:r>
    </w:p>
    <w:p w14:paraId="1FB077A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（3）依照基金合同收取基金管理费以及法律法规规定或中国证监会批准的其他费用；</w:t>
      </w:r>
    </w:p>
    <w:p w14:paraId="4FEBB18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（4）销售基金份额；</w:t>
      </w:r>
    </w:p>
    <w:p w14:paraId="2005D8F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按照规定</w:t>
      </w:r>
      <w:r>
        <w:rPr>
          <w:rFonts w:ascii="宋体" w:hAnsi="宋体"/>
          <w:bCs/>
          <w:sz w:val="24"/>
          <w:szCs w:val="24"/>
        </w:rPr>
        <w:t>召集基金份额持有人大会；</w:t>
      </w:r>
    </w:p>
    <w:p w14:paraId="1B62390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（6）依据基金合同及有关法律规定监督基金托管人，如认为基金托管人违反了基金合同及国家有关法律规定，应呈报中国证监会和其他监管部门，并采取必要措施保护基金投资</w:t>
      </w:r>
      <w:r>
        <w:rPr>
          <w:rFonts w:ascii="宋体" w:hAnsi="宋体" w:hint="eastAsia"/>
          <w:bCs/>
          <w:sz w:val="24"/>
          <w:szCs w:val="24"/>
        </w:rPr>
        <w:t>人</w:t>
      </w:r>
      <w:r>
        <w:rPr>
          <w:rFonts w:ascii="宋体" w:hAnsi="宋体"/>
          <w:bCs/>
          <w:sz w:val="24"/>
          <w:szCs w:val="24"/>
        </w:rPr>
        <w:t>的利益；</w:t>
      </w:r>
    </w:p>
    <w:p w14:paraId="22338B1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（7）在基金托管人更换时，提名新的基金托管人；</w:t>
      </w:r>
    </w:p>
    <w:p w14:paraId="2E6B529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（8）选择、更换销售机构，对销售机构的相关行为进行监督和处理；</w:t>
      </w:r>
    </w:p>
    <w:p w14:paraId="664B1F0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（9）担任或委托其他符合条件的机构担任基金登记机构办理基金登记业务并获得基金合同规定的费用；</w:t>
      </w:r>
    </w:p>
    <w:p w14:paraId="6AF30D2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（10）依据基金合同及有关法律规定决定基金收益的分配方案；</w:t>
      </w:r>
    </w:p>
    <w:p w14:paraId="094CDD2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（11）在基金合同约定的范围内，拒绝或暂停受理申购</w:t>
      </w:r>
      <w:r>
        <w:rPr>
          <w:rFonts w:ascii="宋体" w:hAnsi="宋体" w:hint="eastAsia"/>
          <w:bCs/>
          <w:sz w:val="24"/>
          <w:szCs w:val="24"/>
        </w:rPr>
        <w:t>、</w:t>
      </w:r>
      <w:r>
        <w:rPr>
          <w:rFonts w:ascii="宋体" w:hAnsi="宋体"/>
          <w:bCs/>
          <w:sz w:val="24"/>
          <w:szCs w:val="24"/>
        </w:rPr>
        <w:t>赎回</w:t>
      </w:r>
      <w:r>
        <w:rPr>
          <w:rFonts w:ascii="宋体" w:hAnsi="宋体" w:hint="eastAsia"/>
          <w:bCs/>
          <w:sz w:val="24"/>
          <w:szCs w:val="24"/>
        </w:rPr>
        <w:t>和</w:t>
      </w:r>
      <w:r>
        <w:rPr>
          <w:rFonts w:ascii="宋体" w:hAnsi="宋体"/>
          <w:bCs/>
          <w:sz w:val="24"/>
          <w:szCs w:val="24"/>
        </w:rPr>
        <w:t>转换申请；</w:t>
      </w:r>
    </w:p>
    <w:p w14:paraId="64CBD89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（12）依照法律法规为基金的利益对被投资公司行使股东权利，为基金的利益行使因基金财产投资于证券</w:t>
      </w:r>
      <w:r>
        <w:rPr>
          <w:rFonts w:ascii="宋体" w:hAnsi="宋体" w:hint="eastAsia"/>
          <w:bCs/>
          <w:sz w:val="24"/>
          <w:szCs w:val="24"/>
        </w:rPr>
        <w:t>/期货</w:t>
      </w:r>
      <w:r>
        <w:rPr>
          <w:rFonts w:ascii="宋体" w:hAnsi="宋体"/>
          <w:bCs/>
          <w:sz w:val="24"/>
          <w:szCs w:val="24"/>
        </w:rPr>
        <w:t>所产生的权利；</w:t>
      </w:r>
    </w:p>
    <w:p w14:paraId="7B40C2A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（13）在法律法规允许的前提下，为基金的利益依法为基金进行融资</w:t>
      </w:r>
      <w:r>
        <w:rPr>
          <w:rFonts w:ascii="宋体" w:hAnsi="宋体" w:hint="eastAsia"/>
          <w:bCs/>
          <w:sz w:val="24"/>
          <w:szCs w:val="24"/>
        </w:rPr>
        <w:t>及转融通证券出借业务</w:t>
      </w:r>
      <w:r>
        <w:rPr>
          <w:rFonts w:ascii="宋体" w:hAnsi="宋体"/>
          <w:bCs/>
          <w:sz w:val="24"/>
          <w:szCs w:val="24"/>
        </w:rPr>
        <w:t>；</w:t>
      </w:r>
    </w:p>
    <w:p w14:paraId="7E78DB3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（14）以基金管理人的名义，代表基金份额持有人的利益行使诉讼权利或者实施其他法律行为；</w:t>
      </w:r>
    </w:p>
    <w:p w14:paraId="7D7F60C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（15）选择、更换律师事务所、会计师事务所、证券</w:t>
      </w:r>
      <w:r>
        <w:rPr>
          <w:rFonts w:ascii="宋体" w:hAnsi="宋体" w:hint="eastAsia"/>
          <w:bCs/>
          <w:sz w:val="24"/>
          <w:szCs w:val="24"/>
        </w:rPr>
        <w:t>/</w:t>
      </w:r>
      <w:r>
        <w:rPr>
          <w:rFonts w:ascii="宋体" w:hAnsi="宋体"/>
          <w:bCs/>
          <w:sz w:val="24"/>
          <w:szCs w:val="24"/>
        </w:rPr>
        <w:t>期货经纪商或其他为基金提供服务的外部机构；</w:t>
      </w:r>
      <w:r>
        <w:rPr>
          <w:rFonts w:hint="eastAsia"/>
          <w:bCs/>
          <w:sz w:val="24"/>
          <w:szCs w:val="24"/>
        </w:rPr>
        <w:t>基金管理人有权选择代表本基金进行场内交易、作为结算参与人代理本基金进行结算的证券经纪机构，并签订证券经纪服务协议；</w:t>
      </w:r>
    </w:p>
    <w:p w14:paraId="1AB1170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（16）在符合有关法律、法规的前提下，制订和调整有关基金认购、申购、赎回、转换</w:t>
      </w:r>
      <w:r>
        <w:rPr>
          <w:rFonts w:ascii="宋体" w:hAnsi="宋体" w:hint="eastAsia"/>
          <w:bCs/>
          <w:sz w:val="24"/>
          <w:szCs w:val="24"/>
        </w:rPr>
        <w:t>、</w:t>
      </w:r>
      <w:proofErr w:type="gramStart"/>
      <w:r>
        <w:rPr>
          <w:rFonts w:ascii="宋体" w:hAnsi="宋体" w:hint="eastAsia"/>
          <w:bCs/>
          <w:sz w:val="24"/>
          <w:szCs w:val="24"/>
        </w:rPr>
        <w:t>非</w:t>
      </w:r>
      <w:r>
        <w:rPr>
          <w:rFonts w:ascii="宋体" w:hAnsi="宋体"/>
          <w:bCs/>
          <w:sz w:val="24"/>
          <w:szCs w:val="24"/>
        </w:rPr>
        <w:t>交易</w:t>
      </w:r>
      <w:proofErr w:type="gramEnd"/>
      <w:r>
        <w:rPr>
          <w:rFonts w:ascii="宋体" w:hAnsi="宋体"/>
          <w:bCs/>
          <w:sz w:val="24"/>
          <w:szCs w:val="24"/>
        </w:rPr>
        <w:t>过户、</w:t>
      </w:r>
      <w:r>
        <w:rPr>
          <w:rFonts w:ascii="宋体" w:hAnsi="宋体" w:hint="eastAsia"/>
          <w:sz w:val="24"/>
          <w:szCs w:val="24"/>
        </w:rPr>
        <w:t>转托管及定期定额投资</w:t>
      </w:r>
      <w:r>
        <w:rPr>
          <w:rFonts w:ascii="宋体" w:hAnsi="宋体" w:hint="eastAsia"/>
          <w:bCs/>
          <w:sz w:val="24"/>
          <w:szCs w:val="24"/>
        </w:rPr>
        <w:t>等</w:t>
      </w:r>
      <w:r>
        <w:rPr>
          <w:rFonts w:ascii="宋体" w:hAnsi="宋体"/>
          <w:bCs/>
          <w:sz w:val="24"/>
          <w:szCs w:val="24"/>
        </w:rPr>
        <w:t>业务规则；</w:t>
      </w:r>
    </w:p>
    <w:p w14:paraId="16CE165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（17）基金管理人有权根据反洗</w:t>
      </w:r>
      <w:proofErr w:type="gramStart"/>
      <w:r>
        <w:rPr>
          <w:rFonts w:ascii="宋体" w:hAnsi="宋体" w:hint="eastAsia"/>
          <w:bCs/>
          <w:sz w:val="24"/>
          <w:szCs w:val="24"/>
        </w:rPr>
        <w:t>钱法律</w:t>
      </w:r>
      <w:proofErr w:type="gramEnd"/>
      <w:r>
        <w:rPr>
          <w:rFonts w:ascii="宋体" w:hAnsi="宋体" w:hint="eastAsia"/>
          <w:bCs/>
          <w:sz w:val="24"/>
          <w:szCs w:val="24"/>
        </w:rPr>
        <w:t>法规的相关规定，结合基金份额持有人洗钱风险状况，采取相应合理的控制措施；</w:t>
      </w:r>
    </w:p>
    <w:p w14:paraId="7B3B6EB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（18）在法律法规和基金合同规定的范围内决定调整基金费率结构和收费方式；</w:t>
      </w:r>
    </w:p>
    <w:p w14:paraId="3213CA1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（19）代表基金份额持有人的利益行使因基金财产投资于目标ETF所产生的权利，基金合同另有约定的除外；</w:t>
      </w:r>
    </w:p>
    <w:p w14:paraId="3C3C72D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w:t>
      </w:r>
      <w:r>
        <w:rPr>
          <w:rFonts w:ascii="宋体" w:hAnsi="宋体" w:hint="eastAsia"/>
          <w:bCs/>
          <w:sz w:val="24"/>
          <w:szCs w:val="24"/>
        </w:rPr>
        <w:t>20</w:t>
      </w:r>
      <w:r>
        <w:rPr>
          <w:rFonts w:ascii="宋体" w:hAnsi="宋体"/>
          <w:bCs/>
          <w:sz w:val="24"/>
          <w:szCs w:val="24"/>
        </w:rPr>
        <w:t>）法律法规及中国证监会规定的和基金合同约定的其他权利。</w:t>
      </w:r>
    </w:p>
    <w:p w14:paraId="760EEC4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3、根据《基金法》、《运作办法》及其他有关规定，基金管理人的义务包括但不限于：</w:t>
      </w:r>
    </w:p>
    <w:p w14:paraId="358AA2B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（1）依法募集</w:t>
      </w:r>
      <w:r>
        <w:rPr>
          <w:rFonts w:ascii="宋体" w:hAnsi="宋体" w:hint="eastAsia"/>
          <w:bCs/>
          <w:sz w:val="24"/>
          <w:szCs w:val="24"/>
        </w:rPr>
        <w:t>资</w:t>
      </w:r>
      <w:r>
        <w:rPr>
          <w:rFonts w:ascii="宋体" w:hAnsi="宋体"/>
          <w:bCs/>
          <w:sz w:val="24"/>
          <w:szCs w:val="24"/>
        </w:rPr>
        <w:t>金，办理或者委托经中国证监会认定的其他机构代为办理基金份额的发售、申购、赎回和登记事宜；</w:t>
      </w:r>
    </w:p>
    <w:p w14:paraId="2291921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（2）办理基金备案手续；</w:t>
      </w:r>
    </w:p>
    <w:p w14:paraId="459D372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（3）自基金合同生效之日起</w:t>
      </w:r>
      <w:r>
        <w:rPr>
          <w:rFonts w:ascii="宋体" w:hAnsi="宋体" w:hint="eastAsia"/>
          <w:bCs/>
          <w:sz w:val="24"/>
          <w:szCs w:val="24"/>
        </w:rPr>
        <w:t>，</w:t>
      </w:r>
      <w:r>
        <w:rPr>
          <w:rFonts w:ascii="宋体" w:hAnsi="宋体"/>
          <w:bCs/>
          <w:sz w:val="24"/>
          <w:szCs w:val="24"/>
        </w:rPr>
        <w:t>以诚实信用、谨慎勤勉的原则管理和运用基金财产；</w:t>
      </w:r>
    </w:p>
    <w:p w14:paraId="3B595D4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（4）配备足够的具有专业资格的人员进行基金投资分析、决策，以专业化</w:t>
      </w:r>
      <w:r>
        <w:rPr>
          <w:rFonts w:ascii="宋体" w:hAnsi="宋体"/>
          <w:bCs/>
          <w:sz w:val="24"/>
          <w:szCs w:val="24"/>
        </w:rPr>
        <w:lastRenderedPageBreak/>
        <w:t>的经营方式管理和运作基金财产；</w:t>
      </w:r>
    </w:p>
    <w:p w14:paraId="6E5C810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（5）建立健全内部风险控制、监察与稽核、财务管理及人事管理等制度，保证所管理的基金财产和基金管理人的财产相互独立</w:t>
      </w:r>
      <w:r>
        <w:rPr>
          <w:rFonts w:ascii="宋体" w:hAnsi="宋体" w:hint="eastAsia"/>
          <w:bCs/>
          <w:sz w:val="24"/>
          <w:szCs w:val="24"/>
        </w:rPr>
        <w:t>，</w:t>
      </w:r>
      <w:r>
        <w:rPr>
          <w:rFonts w:ascii="宋体" w:hAnsi="宋体"/>
          <w:bCs/>
          <w:sz w:val="24"/>
          <w:szCs w:val="24"/>
        </w:rPr>
        <w:t>对所管理的不同基金分别管理，分别记账，进行证券</w:t>
      </w:r>
      <w:r>
        <w:rPr>
          <w:rFonts w:ascii="宋体" w:hAnsi="宋体" w:hint="eastAsia"/>
          <w:bCs/>
          <w:sz w:val="24"/>
          <w:szCs w:val="24"/>
        </w:rPr>
        <w:t>/期货</w:t>
      </w:r>
      <w:r>
        <w:rPr>
          <w:rFonts w:ascii="宋体" w:hAnsi="宋体"/>
          <w:bCs/>
          <w:sz w:val="24"/>
          <w:szCs w:val="24"/>
        </w:rPr>
        <w:t>投资；</w:t>
      </w:r>
    </w:p>
    <w:p w14:paraId="6DCDC1C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（6）除依据《基金法》、基金合同及其他有关规定外</w:t>
      </w:r>
      <w:r>
        <w:rPr>
          <w:rFonts w:ascii="宋体" w:hAnsi="宋体" w:hint="eastAsia"/>
          <w:bCs/>
          <w:sz w:val="24"/>
          <w:szCs w:val="24"/>
        </w:rPr>
        <w:t>，</w:t>
      </w:r>
      <w:r>
        <w:rPr>
          <w:rFonts w:ascii="宋体" w:hAnsi="宋体"/>
          <w:bCs/>
          <w:sz w:val="24"/>
          <w:szCs w:val="24"/>
        </w:rPr>
        <w:t>不得利用基金财产为自己及任何第三人谋取利益，不得委托第三人运作基金财产；</w:t>
      </w:r>
    </w:p>
    <w:p w14:paraId="098FD4F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（7）依法接受基金托管人的监督；</w:t>
      </w:r>
    </w:p>
    <w:p w14:paraId="6DEA1AA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（8）采取适当合理的措施使计算基金份额认购、申购、赎回价格的方法符合《基金合同》等法律文件的规定</w:t>
      </w:r>
      <w:r>
        <w:rPr>
          <w:rFonts w:ascii="宋体" w:hAnsi="宋体" w:hint="eastAsia"/>
          <w:bCs/>
          <w:sz w:val="24"/>
          <w:szCs w:val="24"/>
        </w:rPr>
        <w:t>，</w:t>
      </w:r>
      <w:r>
        <w:rPr>
          <w:rFonts w:ascii="宋体" w:hAnsi="宋体"/>
          <w:bCs/>
          <w:sz w:val="24"/>
          <w:szCs w:val="24"/>
        </w:rPr>
        <w:t>按有关规定计算并公告</w:t>
      </w:r>
      <w:r>
        <w:rPr>
          <w:rFonts w:ascii="宋体" w:hAnsi="宋体" w:hint="eastAsia"/>
          <w:bCs/>
          <w:sz w:val="24"/>
          <w:szCs w:val="24"/>
        </w:rPr>
        <w:t>基金净值信息，</w:t>
      </w:r>
      <w:r>
        <w:rPr>
          <w:rFonts w:ascii="宋体" w:hAnsi="宋体"/>
          <w:bCs/>
          <w:sz w:val="24"/>
          <w:szCs w:val="24"/>
        </w:rPr>
        <w:t>确定各类基金份额申购、赎回的价格；</w:t>
      </w:r>
    </w:p>
    <w:p w14:paraId="490DCD2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（9）进行基金会计核算并编制基金财务会计报告；</w:t>
      </w:r>
    </w:p>
    <w:p w14:paraId="3184A33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（10）编制季度</w:t>
      </w:r>
      <w:r>
        <w:rPr>
          <w:rFonts w:ascii="宋体" w:hAnsi="宋体" w:hint="eastAsia"/>
          <w:bCs/>
          <w:sz w:val="24"/>
          <w:szCs w:val="24"/>
        </w:rPr>
        <w:t>报告、中期报告和年度报告</w:t>
      </w:r>
      <w:r>
        <w:rPr>
          <w:rFonts w:ascii="宋体" w:hAnsi="宋体"/>
          <w:bCs/>
          <w:sz w:val="24"/>
          <w:szCs w:val="24"/>
        </w:rPr>
        <w:t>；</w:t>
      </w:r>
    </w:p>
    <w:p w14:paraId="48756DF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（11）严格按照《基金法》、基金合同及其他有关规定，履行信息披露及报告义务；</w:t>
      </w:r>
    </w:p>
    <w:p w14:paraId="5C08441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（12）保守基金商业秘密，不泄露基金投资计划、投资意向等。除《基金法》、基金合同及其他有关</w:t>
      </w:r>
      <w:r>
        <w:rPr>
          <w:rFonts w:ascii="宋体" w:hAnsi="宋体" w:hint="eastAsia"/>
          <w:bCs/>
          <w:sz w:val="24"/>
          <w:szCs w:val="24"/>
        </w:rPr>
        <w:t>法律法规或监管机构</w:t>
      </w:r>
      <w:r>
        <w:rPr>
          <w:rFonts w:ascii="宋体" w:hAnsi="宋体"/>
          <w:bCs/>
          <w:sz w:val="24"/>
          <w:szCs w:val="24"/>
        </w:rPr>
        <w:t>另有规定</w:t>
      </w:r>
      <w:r>
        <w:rPr>
          <w:rFonts w:ascii="宋体" w:hAnsi="宋体" w:hint="eastAsia"/>
          <w:bCs/>
          <w:sz w:val="24"/>
          <w:szCs w:val="24"/>
        </w:rPr>
        <w:t>或要求</w:t>
      </w:r>
      <w:r>
        <w:rPr>
          <w:rFonts w:ascii="宋体" w:hAnsi="宋体"/>
          <w:bCs/>
          <w:sz w:val="24"/>
          <w:szCs w:val="24"/>
        </w:rPr>
        <w:t>外，在基金信息公开披露前应予保密，不向他人泄露</w:t>
      </w:r>
      <w:r>
        <w:rPr>
          <w:rFonts w:ascii="宋体" w:hAnsi="宋体" w:hint="eastAsia"/>
          <w:bCs/>
          <w:sz w:val="24"/>
          <w:szCs w:val="24"/>
        </w:rPr>
        <w:t>，但向监管机构、司法机关提供或因审计、法律等外部专业顾问提供服务而向其提供的情况除外</w:t>
      </w:r>
      <w:r>
        <w:rPr>
          <w:rFonts w:ascii="宋体" w:hAnsi="宋体"/>
          <w:bCs/>
          <w:sz w:val="24"/>
          <w:szCs w:val="24"/>
        </w:rPr>
        <w:t>；</w:t>
      </w:r>
    </w:p>
    <w:p w14:paraId="442827E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（13）按基金合同的约定确定基金收益分配方案，及时向基金份额持有人分配基金收益；</w:t>
      </w:r>
    </w:p>
    <w:p w14:paraId="538EA53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（14）按规定受理申购与赎回申请，及时、足额支付赎回款项；</w:t>
      </w:r>
    </w:p>
    <w:p w14:paraId="226473C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（15）依据《基金法》、基金合同及其他有关规定召集基金份额持有人大会或配合基金托管人、基金份额持有人依法召集基金份额持有人大会；</w:t>
      </w:r>
    </w:p>
    <w:p w14:paraId="02BAD33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（16）按规定保存基金财产管理业务活动的会计账册、报表、记录和其他相关资料</w:t>
      </w:r>
      <w:r>
        <w:rPr>
          <w:rFonts w:ascii="宋体" w:hAnsi="宋体" w:hint="eastAsia"/>
          <w:bCs/>
          <w:sz w:val="24"/>
          <w:szCs w:val="24"/>
        </w:rPr>
        <w:t>，保存期限不低于法律法规规定的最低期限</w:t>
      </w:r>
      <w:r>
        <w:rPr>
          <w:rFonts w:ascii="宋体" w:hAnsi="宋体"/>
          <w:bCs/>
          <w:sz w:val="24"/>
          <w:szCs w:val="24"/>
        </w:rPr>
        <w:t>；</w:t>
      </w:r>
    </w:p>
    <w:p w14:paraId="5444CB3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（17）确保需要向基金投资人提供的各项文件或资料在规定时间发出，并且保证投资</w:t>
      </w:r>
      <w:r>
        <w:rPr>
          <w:rFonts w:ascii="宋体" w:hAnsi="宋体" w:hint="eastAsia"/>
          <w:bCs/>
          <w:sz w:val="24"/>
          <w:szCs w:val="24"/>
        </w:rPr>
        <w:t>人</w:t>
      </w:r>
      <w:r>
        <w:rPr>
          <w:rFonts w:ascii="宋体" w:hAnsi="宋体"/>
          <w:bCs/>
          <w:sz w:val="24"/>
          <w:szCs w:val="24"/>
        </w:rPr>
        <w:t>能够按照基金合同规定的时间和方式，随时查阅到与基金有关的公开资料，并在支付合理成本的条件下得到有关资料的复印件；</w:t>
      </w:r>
    </w:p>
    <w:p w14:paraId="6E35546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（18）组织并参加基金财产清算小组</w:t>
      </w:r>
      <w:r>
        <w:rPr>
          <w:rFonts w:ascii="宋体" w:hAnsi="宋体" w:hint="eastAsia"/>
          <w:bCs/>
          <w:sz w:val="24"/>
          <w:szCs w:val="24"/>
        </w:rPr>
        <w:t>，</w:t>
      </w:r>
      <w:r>
        <w:rPr>
          <w:rFonts w:ascii="宋体" w:hAnsi="宋体"/>
          <w:bCs/>
          <w:sz w:val="24"/>
          <w:szCs w:val="24"/>
        </w:rPr>
        <w:t>参与基金财产的保管、清理、估价、变现和分配；</w:t>
      </w:r>
    </w:p>
    <w:p w14:paraId="0EF3C63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（19）面临解散、依法被撤销或者被依法宣告破产时，及时报告中国证监会并通知基金托管人；</w:t>
      </w:r>
    </w:p>
    <w:p w14:paraId="3907FAE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（20）因违反基金合同导致基金财产的损失或损害基金份额持有人合法权益时，应当承担赔偿责任，其赔偿责任不因其退任而免除；</w:t>
      </w:r>
    </w:p>
    <w:p w14:paraId="02306DD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（21）监督基金托管人按法律法规和基金合同规定履行自己的义务，基金托管人违反基金合同造成基金财产损失时，基金管理人应为基金份额持有人利益向基金托管人追偿；</w:t>
      </w:r>
    </w:p>
    <w:p w14:paraId="16F2C4B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（22）当基金管理人将其义务委托第三方处理时，应当对第三方处理有关基金事务的行为承担责任；</w:t>
      </w:r>
    </w:p>
    <w:p w14:paraId="7A71AB1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（23）以基金管理人名义，代表基金份额持有人利益行使诉讼权利或实施其他法律行为；</w:t>
      </w:r>
    </w:p>
    <w:p w14:paraId="75BDD04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（24）基金</w:t>
      </w:r>
      <w:r>
        <w:rPr>
          <w:rFonts w:ascii="宋体" w:hAnsi="宋体" w:hint="eastAsia"/>
          <w:bCs/>
          <w:sz w:val="24"/>
          <w:szCs w:val="24"/>
        </w:rPr>
        <w:t>管理人</w:t>
      </w:r>
      <w:r>
        <w:rPr>
          <w:rFonts w:ascii="宋体" w:hAnsi="宋体"/>
          <w:bCs/>
          <w:sz w:val="24"/>
          <w:szCs w:val="24"/>
        </w:rPr>
        <w:t>在募集期间未能达到基金的备案条件，基金合同不能生效，基金管理人承担全部募集费用，将已募集资金并加计银行同期</w:t>
      </w:r>
      <w:r>
        <w:rPr>
          <w:rFonts w:ascii="宋体" w:hAnsi="宋体" w:hint="eastAsia"/>
          <w:bCs/>
          <w:sz w:val="24"/>
          <w:szCs w:val="24"/>
        </w:rPr>
        <w:t>活期</w:t>
      </w:r>
      <w:r>
        <w:rPr>
          <w:rFonts w:ascii="宋体" w:hAnsi="宋体"/>
          <w:bCs/>
          <w:sz w:val="24"/>
          <w:szCs w:val="24"/>
        </w:rPr>
        <w:t>存款利息</w:t>
      </w:r>
      <w:r>
        <w:rPr>
          <w:rFonts w:ascii="宋体" w:hAnsi="宋体" w:hint="eastAsia"/>
          <w:bCs/>
          <w:sz w:val="24"/>
          <w:szCs w:val="24"/>
        </w:rPr>
        <w:t>（税后</w:t>
      </w:r>
      <w:r>
        <w:rPr>
          <w:rFonts w:ascii="宋体" w:hAnsi="宋体"/>
          <w:bCs/>
          <w:sz w:val="24"/>
          <w:szCs w:val="24"/>
        </w:rPr>
        <w:t>）在基金募集期结束后</w:t>
      </w:r>
      <w:r>
        <w:rPr>
          <w:rFonts w:ascii="宋体" w:hAnsi="宋体" w:hint="eastAsia"/>
          <w:bCs/>
          <w:sz w:val="24"/>
          <w:szCs w:val="24"/>
        </w:rPr>
        <w:t>30</w:t>
      </w:r>
      <w:r>
        <w:rPr>
          <w:rFonts w:ascii="宋体" w:hAnsi="宋体"/>
          <w:bCs/>
          <w:sz w:val="24"/>
          <w:szCs w:val="24"/>
        </w:rPr>
        <w:t>日内退还基金认购人；</w:t>
      </w:r>
    </w:p>
    <w:p w14:paraId="0DEBE06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（25）执行生效的基金份额持有人大会的</w:t>
      </w:r>
      <w:r>
        <w:rPr>
          <w:rFonts w:ascii="宋体" w:hAnsi="宋体" w:hint="eastAsia"/>
          <w:bCs/>
          <w:sz w:val="24"/>
          <w:szCs w:val="24"/>
        </w:rPr>
        <w:t>决议</w:t>
      </w:r>
      <w:r>
        <w:rPr>
          <w:rFonts w:ascii="宋体" w:hAnsi="宋体"/>
          <w:bCs/>
          <w:sz w:val="24"/>
          <w:szCs w:val="24"/>
        </w:rPr>
        <w:t>；</w:t>
      </w:r>
    </w:p>
    <w:p w14:paraId="2D0B9FB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（26）建立并保存基金份额持有人名册；</w:t>
      </w:r>
    </w:p>
    <w:p w14:paraId="31FAE4F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（27）法律法规及中国证监会规定的和《基金合同》约定的其他义务。</w:t>
      </w:r>
    </w:p>
    <w:p w14:paraId="012F3F30" w14:textId="77777777" w:rsidR="00166BB1" w:rsidRDefault="00166BB1">
      <w:pPr>
        <w:adjustRightInd w:val="0"/>
        <w:snapToGrid w:val="0"/>
        <w:spacing w:line="360" w:lineRule="auto"/>
        <w:ind w:firstLineChars="200" w:firstLine="480"/>
        <w:rPr>
          <w:rFonts w:ascii="宋体" w:hAnsi="宋体"/>
          <w:bCs/>
          <w:sz w:val="24"/>
          <w:szCs w:val="24"/>
        </w:rPr>
      </w:pPr>
      <w:r>
        <w:rPr>
          <w:rFonts w:asciiTheme="minorEastAsia" w:eastAsiaTheme="minorEastAsia" w:hAnsiTheme="minorEastAsia" w:hint="eastAsia"/>
          <w:sz w:val="24"/>
          <w:szCs w:val="24"/>
        </w:rPr>
        <w:t>（二）基金托管人的权利与义务</w:t>
      </w:r>
    </w:p>
    <w:p w14:paraId="0C97CB4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w:t>
      </w:r>
      <w:r>
        <w:rPr>
          <w:rFonts w:ascii="宋体" w:hAnsi="宋体" w:hint="eastAsia"/>
          <w:bCs/>
          <w:sz w:val="24"/>
          <w:szCs w:val="24"/>
        </w:rPr>
        <w:t>基金托管人简况</w:t>
      </w:r>
    </w:p>
    <w:p w14:paraId="365E87DD" w14:textId="77777777" w:rsidR="00166BB1" w:rsidRDefault="00166BB1">
      <w:pPr>
        <w:spacing w:line="360" w:lineRule="auto"/>
        <w:ind w:firstLineChars="200" w:firstLine="480"/>
        <w:rPr>
          <w:rFonts w:ascii="宋体" w:hAnsi="宋体" w:cs="宋体"/>
          <w:sz w:val="24"/>
          <w:szCs w:val="24"/>
        </w:rPr>
      </w:pPr>
      <w:r>
        <w:rPr>
          <w:rFonts w:ascii="宋体" w:hAnsi="宋体" w:cs="宋体" w:hint="eastAsia"/>
          <w:sz w:val="24"/>
          <w:szCs w:val="24"/>
          <w:lang w:bidi="ar"/>
        </w:rPr>
        <w:t>名称：中国建设银行股份有限公司</w:t>
      </w:r>
    </w:p>
    <w:p w14:paraId="638EEE2E" w14:textId="77777777" w:rsidR="00166BB1" w:rsidRDefault="00166BB1">
      <w:pPr>
        <w:spacing w:line="360" w:lineRule="auto"/>
        <w:ind w:firstLineChars="200" w:firstLine="480"/>
        <w:rPr>
          <w:rFonts w:ascii="宋体" w:hAnsi="宋体" w:cs="宋体"/>
          <w:sz w:val="24"/>
          <w:szCs w:val="24"/>
        </w:rPr>
      </w:pPr>
      <w:r>
        <w:rPr>
          <w:rFonts w:ascii="宋体" w:hAnsi="宋体" w:cs="宋体" w:hint="eastAsia"/>
          <w:sz w:val="24"/>
          <w:szCs w:val="24"/>
          <w:lang w:bidi="ar"/>
        </w:rPr>
        <w:t>住所：北京市西城区金融大街25号</w:t>
      </w:r>
    </w:p>
    <w:p w14:paraId="7D544867" w14:textId="77777777" w:rsidR="00166BB1" w:rsidRDefault="00166BB1">
      <w:pPr>
        <w:spacing w:line="360" w:lineRule="auto"/>
        <w:ind w:firstLineChars="200" w:firstLine="480"/>
        <w:rPr>
          <w:rFonts w:ascii="宋体" w:hAnsi="宋体" w:cs="宋体"/>
          <w:sz w:val="24"/>
          <w:szCs w:val="24"/>
        </w:rPr>
      </w:pPr>
      <w:r>
        <w:rPr>
          <w:rFonts w:ascii="宋体" w:hAnsi="宋体" w:cs="宋体" w:hint="eastAsia"/>
          <w:sz w:val="24"/>
          <w:szCs w:val="24"/>
          <w:lang w:bidi="ar"/>
        </w:rPr>
        <w:t>办公地址：北京市西城区闹市口大街1号院1号楼</w:t>
      </w:r>
    </w:p>
    <w:p w14:paraId="256A94A0" w14:textId="77777777" w:rsidR="00166BB1" w:rsidRDefault="00166BB1">
      <w:pPr>
        <w:spacing w:line="360" w:lineRule="auto"/>
        <w:ind w:firstLineChars="200" w:firstLine="480"/>
        <w:rPr>
          <w:rFonts w:ascii="宋体" w:hAnsi="宋体" w:cs="宋体"/>
          <w:sz w:val="24"/>
          <w:szCs w:val="24"/>
        </w:rPr>
      </w:pPr>
      <w:r>
        <w:rPr>
          <w:rFonts w:ascii="宋体" w:hAnsi="宋体" w:cs="宋体" w:hint="eastAsia"/>
          <w:sz w:val="24"/>
          <w:szCs w:val="24"/>
          <w:lang w:bidi="ar"/>
        </w:rPr>
        <w:t>法定代表人：张金良</w:t>
      </w:r>
    </w:p>
    <w:p w14:paraId="04D485AF" w14:textId="77777777" w:rsidR="00166BB1" w:rsidRDefault="00166BB1">
      <w:pPr>
        <w:spacing w:line="360" w:lineRule="auto"/>
        <w:ind w:firstLineChars="200" w:firstLine="480"/>
        <w:rPr>
          <w:rFonts w:ascii="宋体" w:hAnsi="宋体" w:cs="宋体"/>
          <w:sz w:val="24"/>
          <w:szCs w:val="24"/>
        </w:rPr>
      </w:pPr>
      <w:r>
        <w:rPr>
          <w:rFonts w:ascii="宋体" w:hAnsi="宋体" w:cs="宋体" w:hint="eastAsia"/>
          <w:sz w:val="24"/>
          <w:szCs w:val="24"/>
          <w:lang w:bidi="ar"/>
        </w:rPr>
        <w:t>成立时间：2004年09月17日</w:t>
      </w:r>
    </w:p>
    <w:p w14:paraId="68194FF5" w14:textId="77777777" w:rsidR="00166BB1" w:rsidRDefault="00166BB1">
      <w:pPr>
        <w:spacing w:line="360" w:lineRule="auto"/>
        <w:ind w:firstLineChars="200" w:firstLine="480"/>
        <w:rPr>
          <w:rFonts w:ascii="宋体" w:hAnsi="宋体" w:cs="宋体"/>
          <w:sz w:val="24"/>
          <w:szCs w:val="24"/>
        </w:rPr>
      </w:pPr>
      <w:r>
        <w:rPr>
          <w:rFonts w:ascii="宋体" w:hAnsi="宋体" w:cs="宋体" w:hint="eastAsia"/>
          <w:sz w:val="24"/>
          <w:szCs w:val="24"/>
          <w:lang w:bidi="ar"/>
        </w:rPr>
        <w:t>组织形式：股份有限公司</w:t>
      </w:r>
    </w:p>
    <w:p w14:paraId="2E1D4B7D" w14:textId="77777777" w:rsidR="00166BB1" w:rsidRDefault="00166BB1">
      <w:pPr>
        <w:spacing w:line="360" w:lineRule="auto"/>
        <w:ind w:firstLineChars="200" w:firstLine="480"/>
        <w:rPr>
          <w:rFonts w:ascii="宋体" w:hAnsi="宋体" w:cs="宋体"/>
          <w:sz w:val="24"/>
          <w:szCs w:val="24"/>
        </w:rPr>
      </w:pPr>
      <w:r>
        <w:rPr>
          <w:rFonts w:ascii="宋体" w:hAnsi="宋体" w:cs="宋体" w:hint="eastAsia"/>
          <w:sz w:val="24"/>
          <w:szCs w:val="24"/>
          <w:lang w:bidi="ar"/>
        </w:rPr>
        <w:t>注册资本：</w:t>
      </w:r>
      <w:proofErr w:type="gramStart"/>
      <w:r>
        <w:rPr>
          <w:rFonts w:ascii="宋体" w:hAnsi="宋体" w:cs="宋体" w:hint="eastAsia"/>
          <w:sz w:val="24"/>
          <w:szCs w:val="24"/>
          <w:lang w:bidi="ar"/>
        </w:rPr>
        <w:t>贰仟伍佰亿壹仟零玖拾柒万柒仟肆佰捌拾陆</w:t>
      </w:r>
      <w:proofErr w:type="gramEnd"/>
      <w:r>
        <w:rPr>
          <w:rFonts w:ascii="宋体" w:hAnsi="宋体" w:cs="宋体" w:hint="eastAsia"/>
          <w:sz w:val="24"/>
          <w:szCs w:val="24"/>
          <w:lang w:bidi="ar"/>
        </w:rPr>
        <w:t>元整</w:t>
      </w:r>
    </w:p>
    <w:p w14:paraId="34E5B9F3" w14:textId="77777777" w:rsidR="00166BB1" w:rsidRDefault="00166BB1">
      <w:pPr>
        <w:spacing w:line="360" w:lineRule="auto"/>
        <w:ind w:firstLineChars="200" w:firstLine="480"/>
        <w:rPr>
          <w:rFonts w:ascii="宋体" w:hAnsi="宋体" w:cs="宋体"/>
          <w:sz w:val="24"/>
          <w:szCs w:val="24"/>
        </w:rPr>
      </w:pPr>
      <w:r>
        <w:rPr>
          <w:rFonts w:ascii="宋体" w:hAnsi="宋体" w:cs="宋体" w:hint="eastAsia"/>
          <w:sz w:val="24"/>
          <w:szCs w:val="24"/>
          <w:lang w:bidi="ar"/>
        </w:rPr>
        <w:t>存续期间：持续经营</w:t>
      </w:r>
    </w:p>
    <w:p w14:paraId="6C1B7A50" w14:textId="77777777" w:rsidR="00166BB1" w:rsidRDefault="00166BB1">
      <w:pPr>
        <w:spacing w:line="360" w:lineRule="auto"/>
        <w:ind w:firstLineChars="200" w:firstLine="480"/>
        <w:rPr>
          <w:rFonts w:ascii="宋体" w:hAnsi="宋体" w:cs="宋体"/>
          <w:sz w:val="24"/>
          <w:szCs w:val="24"/>
        </w:rPr>
      </w:pPr>
      <w:r>
        <w:rPr>
          <w:rFonts w:ascii="宋体" w:hAnsi="宋体" w:cs="宋体" w:hint="eastAsia"/>
          <w:sz w:val="24"/>
          <w:szCs w:val="24"/>
          <w:lang w:bidi="ar"/>
        </w:rPr>
        <w:t>基金托管资格批文</w:t>
      </w:r>
      <w:proofErr w:type="gramStart"/>
      <w:r>
        <w:rPr>
          <w:rFonts w:ascii="宋体" w:hAnsi="宋体" w:cs="宋体" w:hint="eastAsia"/>
          <w:sz w:val="24"/>
          <w:szCs w:val="24"/>
          <w:lang w:bidi="ar"/>
        </w:rPr>
        <w:t>文</w:t>
      </w:r>
      <w:proofErr w:type="gramEnd"/>
      <w:r>
        <w:rPr>
          <w:rFonts w:ascii="宋体" w:hAnsi="宋体" w:cs="宋体" w:hint="eastAsia"/>
          <w:sz w:val="24"/>
          <w:szCs w:val="24"/>
          <w:lang w:bidi="ar"/>
        </w:rPr>
        <w:t>号：中国证监会</w:t>
      </w:r>
      <w:proofErr w:type="gramStart"/>
      <w:r>
        <w:rPr>
          <w:rFonts w:ascii="宋体" w:hAnsi="宋体" w:cs="宋体" w:hint="eastAsia"/>
          <w:sz w:val="24"/>
          <w:szCs w:val="24"/>
          <w:lang w:bidi="ar"/>
        </w:rPr>
        <w:t>证监基字</w:t>
      </w:r>
      <w:proofErr w:type="gramEnd"/>
      <w:r>
        <w:rPr>
          <w:rFonts w:ascii="宋体" w:hAnsi="宋体" w:cs="宋体" w:hint="eastAsia"/>
          <w:sz w:val="24"/>
          <w:szCs w:val="24"/>
          <w:lang w:bidi="ar"/>
        </w:rPr>
        <w:t>[1998]12号</w:t>
      </w:r>
    </w:p>
    <w:p w14:paraId="7530438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Pr>
          <w:rFonts w:ascii="宋体" w:hAnsi="宋体"/>
          <w:bCs/>
          <w:sz w:val="24"/>
          <w:szCs w:val="24"/>
        </w:rPr>
        <w:t>根据《基金法》、《运作办法》及其他有关规定，基金托管人的权利包括但不限于：</w:t>
      </w:r>
    </w:p>
    <w:p w14:paraId="579A69D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（1）自《基金合同》生效之日起，依法</w:t>
      </w:r>
      <w:proofErr w:type="gramStart"/>
      <w:r>
        <w:rPr>
          <w:rFonts w:ascii="宋体" w:hAnsi="宋体"/>
          <w:bCs/>
          <w:sz w:val="24"/>
          <w:szCs w:val="24"/>
        </w:rPr>
        <w:t>律法规</w:t>
      </w:r>
      <w:proofErr w:type="gramEnd"/>
      <w:r>
        <w:rPr>
          <w:rFonts w:ascii="宋体" w:hAnsi="宋体"/>
          <w:bCs/>
          <w:sz w:val="24"/>
          <w:szCs w:val="24"/>
        </w:rPr>
        <w:t>和《基金合同》的规定安全保管基金财产；</w:t>
      </w:r>
    </w:p>
    <w:p w14:paraId="59DACC3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（2）依《基金合同》约定获得基金托管费以及法律法规规定或监管部门批准的其他费用；</w:t>
      </w:r>
    </w:p>
    <w:p w14:paraId="39DA6BB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（3）监督基金管理人对本基金的投资运作，如发现基金管理人有违反《基金合同》及国家法律法规行为，对基金财产、其他当事人的利益造成重大损失的情形，</w:t>
      </w:r>
      <w:r>
        <w:rPr>
          <w:rFonts w:ascii="宋体" w:hAnsi="宋体" w:hint="eastAsia"/>
          <w:bCs/>
          <w:sz w:val="24"/>
          <w:szCs w:val="24"/>
        </w:rPr>
        <w:t>应</w:t>
      </w:r>
      <w:r>
        <w:rPr>
          <w:rFonts w:ascii="宋体" w:hAnsi="宋体"/>
          <w:bCs/>
          <w:sz w:val="24"/>
          <w:szCs w:val="24"/>
        </w:rPr>
        <w:t>呈报中国证监会，并采取必要措施保护基金投资</w:t>
      </w:r>
      <w:r>
        <w:rPr>
          <w:rFonts w:ascii="宋体" w:hAnsi="宋体" w:hint="eastAsia"/>
          <w:bCs/>
          <w:sz w:val="24"/>
          <w:szCs w:val="24"/>
        </w:rPr>
        <w:t>人</w:t>
      </w:r>
      <w:r>
        <w:rPr>
          <w:rFonts w:ascii="宋体" w:hAnsi="宋体"/>
          <w:bCs/>
          <w:sz w:val="24"/>
          <w:szCs w:val="24"/>
        </w:rPr>
        <w:t>的利益；</w:t>
      </w:r>
    </w:p>
    <w:p w14:paraId="0B645695" w14:textId="77777777" w:rsidR="00166BB1" w:rsidRDefault="00166BB1">
      <w:pPr>
        <w:adjustRightInd w:val="0"/>
        <w:snapToGrid w:val="0"/>
        <w:spacing w:line="360" w:lineRule="auto"/>
        <w:ind w:firstLineChars="200" w:firstLine="480"/>
        <w:rPr>
          <w:rFonts w:ascii="宋体" w:hAnsi="宋体" w:cs="宋体"/>
          <w:bCs/>
          <w:sz w:val="24"/>
          <w:szCs w:val="24"/>
          <w:shd w:val="clear" w:color="FFFFFF" w:fill="D9D9D9"/>
        </w:rPr>
      </w:pPr>
      <w:r>
        <w:rPr>
          <w:rFonts w:ascii="宋体" w:hAnsi="宋体" w:hint="eastAsia"/>
          <w:bCs/>
          <w:sz w:val="24"/>
          <w:szCs w:val="24"/>
        </w:rPr>
        <w:t>（4）根据相关市场规则，为基金开设资金账户、证券账户等投资所需账户，为基金办理证券交易资金清算；</w:t>
      </w:r>
    </w:p>
    <w:p w14:paraId="235A3D9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（5）提议召开或召集基金份额持有人大会；</w:t>
      </w:r>
    </w:p>
    <w:p w14:paraId="57F98AD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（6）在基金管理人更换时，提名新的基金管理人；</w:t>
      </w:r>
    </w:p>
    <w:p w14:paraId="1B4F604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（7）法律法规及中国证监会规定的和《基金合同》约定的其他权利。</w:t>
      </w:r>
    </w:p>
    <w:p w14:paraId="4F2D29E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3、根据《基金法》、《运作办法》及其他有关规定，基金托管人的义务包括但不限于：</w:t>
      </w:r>
    </w:p>
    <w:p w14:paraId="12AE7AC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（1）以诚实信用、勤勉尽责的原则持有并安全保管基金财产；</w:t>
      </w:r>
    </w:p>
    <w:p w14:paraId="4AA8428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（2）设立专门的基金托管部门，具有符合要求的营业场所，配备足够的、合格的熟悉基金托管业务的专职人员，负责基金财产托管事宜；</w:t>
      </w:r>
    </w:p>
    <w:p w14:paraId="340C73D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5CC5715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（4）除依据《基金法》、基金合同及其他有关规定外，不得利用基金财产为自己及任何第三人谋取利益，不得委托第三人托管基金财产；</w:t>
      </w:r>
    </w:p>
    <w:p w14:paraId="1D9A468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（5）保管由基金管理人代表基金签订的与基金有关的重大合同及有关凭证；</w:t>
      </w:r>
    </w:p>
    <w:p w14:paraId="4290E27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w:t>
      </w:r>
      <w:r>
        <w:rPr>
          <w:rFonts w:ascii="宋体" w:hAnsi="宋体" w:hint="eastAsia"/>
          <w:bCs/>
          <w:sz w:val="24"/>
          <w:szCs w:val="24"/>
        </w:rPr>
        <w:t>按规定开设基金财产的资金账户和证券账户等投资所需账户，按照《基金合同》的约定，根据基金管理人的投资指令，及时办理清算、交割事宜；</w:t>
      </w:r>
    </w:p>
    <w:p w14:paraId="4B4DC4C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（7）保守基金商业秘密，除《基金法》、基金合同及其他有关</w:t>
      </w:r>
      <w:r>
        <w:rPr>
          <w:rFonts w:ascii="宋体" w:hAnsi="宋体" w:hint="eastAsia"/>
          <w:bCs/>
          <w:sz w:val="24"/>
          <w:szCs w:val="24"/>
        </w:rPr>
        <w:t>法律法规或监管机构</w:t>
      </w:r>
      <w:r>
        <w:rPr>
          <w:rFonts w:ascii="宋体" w:hAnsi="宋体"/>
          <w:bCs/>
          <w:sz w:val="24"/>
          <w:szCs w:val="24"/>
        </w:rPr>
        <w:t>另有规定</w:t>
      </w:r>
      <w:r>
        <w:rPr>
          <w:rFonts w:ascii="宋体" w:hAnsi="宋体" w:hint="eastAsia"/>
          <w:bCs/>
          <w:sz w:val="24"/>
          <w:szCs w:val="24"/>
        </w:rPr>
        <w:t>或要求</w:t>
      </w:r>
      <w:r>
        <w:rPr>
          <w:rFonts w:ascii="宋体" w:hAnsi="宋体"/>
          <w:bCs/>
          <w:sz w:val="24"/>
          <w:szCs w:val="24"/>
        </w:rPr>
        <w:t>外，在基金信息公开披露前予以保密，不得向他人泄露</w:t>
      </w:r>
      <w:r>
        <w:rPr>
          <w:rFonts w:ascii="宋体" w:hAnsi="宋体" w:hint="eastAsia"/>
          <w:bCs/>
          <w:sz w:val="24"/>
          <w:szCs w:val="24"/>
        </w:rPr>
        <w:t>，但向监管机构、司法机关提供或因审计、法律等外部专业顾问提供服务而向其提供的情况除外</w:t>
      </w:r>
      <w:r>
        <w:rPr>
          <w:rFonts w:ascii="宋体" w:hAnsi="宋体"/>
          <w:bCs/>
          <w:sz w:val="24"/>
          <w:szCs w:val="24"/>
        </w:rPr>
        <w:t>；</w:t>
      </w:r>
    </w:p>
    <w:p w14:paraId="0181F6C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（8）复核、审查基金管理人计算的基金资产净值、</w:t>
      </w:r>
      <w:r>
        <w:rPr>
          <w:rFonts w:ascii="宋体" w:hAnsi="宋体" w:hint="eastAsia"/>
          <w:bCs/>
          <w:sz w:val="24"/>
          <w:szCs w:val="24"/>
        </w:rPr>
        <w:t>各类基金份额净值、</w:t>
      </w:r>
      <w:r>
        <w:rPr>
          <w:rFonts w:ascii="宋体" w:hAnsi="宋体"/>
          <w:bCs/>
          <w:sz w:val="24"/>
          <w:szCs w:val="24"/>
        </w:rPr>
        <w:t>基金份额申购、赎回价格；</w:t>
      </w:r>
    </w:p>
    <w:p w14:paraId="71E61CB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（9）办理与基金托管业务活动有关的信息披露事项；</w:t>
      </w:r>
    </w:p>
    <w:p w14:paraId="23E9920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（10）对基金财务会计报告、</w:t>
      </w:r>
      <w:r>
        <w:rPr>
          <w:rFonts w:ascii="宋体" w:hAnsi="宋体" w:hint="eastAsia"/>
          <w:bCs/>
          <w:sz w:val="24"/>
          <w:szCs w:val="24"/>
        </w:rPr>
        <w:t>季度报告、中期报告和年度报告</w:t>
      </w:r>
      <w:r>
        <w:rPr>
          <w:rFonts w:ascii="宋体" w:hAnsi="宋体"/>
          <w:bCs/>
          <w:sz w:val="24"/>
          <w:szCs w:val="24"/>
        </w:rPr>
        <w:t>出具意见，说明基金管理人在各重要方面的运作是否严格按照基金合同的规定进行；如果基金管理人有未执行基金合同规定的行为，还应当说明基金托管人是否采取了适当的措施；</w:t>
      </w:r>
    </w:p>
    <w:p w14:paraId="5294A07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（11）保存基金托管业务活动的记录、账册、报表和其他相关资料</w:t>
      </w:r>
      <w:r>
        <w:rPr>
          <w:rFonts w:ascii="宋体" w:hAnsi="宋体" w:hint="eastAsia"/>
          <w:bCs/>
          <w:sz w:val="24"/>
          <w:szCs w:val="24"/>
        </w:rPr>
        <w:t>，保存期限不低于法律法规规定的最低期限</w:t>
      </w:r>
      <w:r>
        <w:rPr>
          <w:rFonts w:ascii="宋体" w:hAnsi="宋体"/>
          <w:bCs/>
          <w:sz w:val="24"/>
          <w:szCs w:val="24"/>
        </w:rPr>
        <w:t>；</w:t>
      </w:r>
    </w:p>
    <w:p w14:paraId="2ADCC15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（12）</w:t>
      </w:r>
      <w:r>
        <w:rPr>
          <w:rFonts w:ascii="宋体" w:hAnsi="宋体" w:hint="eastAsia"/>
          <w:bCs/>
          <w:sz w:val="24"/>
          <w:szCs w:val="24"/>
        </w:rPr>
        <w:t>从基金管理人或其委托的登记机构处接收并</w:t>
      </w:r>
      <w:r>
        <w:rPr>
          <w:rFonts w:ascii="宋体" w:hAnsi="宋体"/>
          <w:bCs/>
          <w:sz w:val="24"/>
          <w:szCs w:val="24"/>
        </w:rPr>
        <w:t>保存基金份额持有人名册</w:t>
      </w:r>
      <w:r>
        <w:rPr>
          <w:rFonts w:ascii="宋体" w:hAnsi="宋体" w:hint="eastAsia"/>
          <w:bCs/>
          <w:sz w:val="24"/>
          <w:szCs w:val="24"/>
        </w:rPr>
        <w:t>，保存期限不低于法律法规规定的最低期限</w:t>
      </w:r>
      <w:r>
        <w:rPr>
          <w:rFonts w:ascii="宋体" w:hAnsi="宋体"/>
          <w:bCs/>
          <w:sz w:val="24"/>
          <w:szCs w:val="24"/>
        </w:rPr>
        <w:t>；</w:t>
      </w:r>
    </w:p>
    <w:p w14:paraId="71F2AEE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（13）按规定制作相关账册并与基金管理人核对；</w:t>
      </w:r>
    </w:p>
    <w:p w14:paraId="062BBA0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（14）依据基金管理人的指令或有关规定向基金份额持有人支付基金收益和赎回款项；</w:t>
      </w:r>
    </w:p>
    <w:p w14:paraId="568C01F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（15）依据《基金法》、基金合同及其他有关规定，召集基金份额持有人大会或配合基金管理人、基金份额持有人依法召集基金份额持有人大会；</w:t>
      </w:r>
    </w:p>
    <w:p w14:paraId="5435659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（16）按照法律法规和基金合同的规定监督基金管理人的投资运作；</w:t>
      </w:r>
    </w:p>
    <w:p w14:paraId="1F87E09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（17）参加基金财产清算小组，参与基金财产的保管、清理、估价、变现和分配；</w:t>
      </w:r>
    </w:p>
    <w:p w14:paraId="3ABF252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（18）面临解散、依法被撤销或者被依法宣告破产时，及时报告中国证监会和</w:t>
      </w:r>
      <w:r>
        <w:rPr>
          <w:rFonts w:ascii="宋体" w:hAnsi="宋体" w:hint="eastAsia"/>
          <w:bCs/>
          <w:sz w:val="24"/>
          <w:szCs w:val="24"/>
        </w:rPr>
        <w:t>银行业监督管理机构</w:t>
      </w:r>
      <w:r>
        <w:rPr>
          <w:rFonts w:ascii="宋体" w:hAnsi="宋体"/>
          <w:bCs/>
          <w:sz w:val="24"/>
          <w:szCs w:val="24"/>
        </w:rPr>
        <w:t>，并通知基金管理人；</w:t>
      </w:r>
    </w:p>
    <w:p w14:paraId="5200C9B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（19）因违反基金合同导致基金财产损失时，应承担赔偿责任，其赔偿责任不因其退任而免除；</w:t>
      </w:r>
    </w:p>
    <w:p w14:paraId="03466F8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（20）按规定监督基金管理人按法律法规和基金合同规定履行自己的义务，基金管理人因违反基金合同造成基金财产损失时，应为基金份额持有人利益向基金管理人追偿；</w:t>
      </w:r>
    </w:p>
    <w:p w14:paraId="403275C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（21）执行生效的基金份额持有人大会的决</w:t>
      </w:r>
      <w:r>
        <w:rPr>
          <w:rFonts w:ascii="宋体" w:hAnsi="宋体" w:hint="eastAsia"/>
          <w:bCs/>
          <w:sz w:val="24"/>
          <w:szCs w:val="24"/>
        </w:rPr>
        <w:t>议</w:t>
      </w:r>
      <w:r>
        <w:rPr>
          <w:rFonts w:ascii="宋体" w:hAnsi="宋体"/>
          <w:bCs/>
          <w:sz w:val="24"/>
          <w:szCs w:val="24"/>
        </w:rPr>
        <w:t>；</w:t>
      </w:r>
    </w:p>
    <w:p w14:paraId="6ADD08F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（22）法律法规及中国证监会规定的和基金合同约定的其他义务。</w:t>
      </w:r>
    </w:p>
    <w:p w14:paraId="3CACF87E" w14:textId="77777777" w:rsidR="00166BB1" w:rsidRDefault="00166BB1">
      <w:pPr>
        <w:adjustRightInd w:val="0"/>
        <w:snapToGrid w:val="0"/>
        <w:spacing w:line="360" w:lineRule="auto"/>
        <w:ind w:firstLineChars="200" w:firstLine="480"/>
        <w:rPr>
          <w:rFonts w:ascii="宋体" w:hAnsi="宋体"/>
          <w:bCs/>
          <w:sz w:val="24"/>
          <w:szCs w:val="24"/>
        </w:rPr>
      </w:pPr>
      <w:r>
        <w:rPr>
          <w:rFonts w:asciiTheme="minorEastAsia" w:eastAsiaTheme="minorEastAsia" w:hAnsiTheme="minorEastAsia" w:hint="eastAsia"/>
          <w:sz w:val="24"/>
          <w:szCs w:val="24"/>
        </w:rPr>
        <w:t>（三）基金份额持有人的权利和义务</w:t>
      </w:r>
    </w:p>
    <w:p w14:paraId="52C5C5D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基金投资</w:t>
      </w:r>
      <w:r>
        <w:rPr>
          <w:rFonts w:ascii="宋体" w:hAnsi="宋体" w:hint="eastAsia"/>
          <w:bCs/>
          <w:sz w:val="24"/>
          <w:szCs w:val="24"/>
        </w:rPr>
        <w:t>人持有</w:t>
      </w:r>
      <w:r>
        <w:rPr>
          <w:rFonts w:ascii="宋体" w:hAnsi="宋体"/>
          <w:bCs/>
          <w:sz w:val="24"/>
          <w:szCs w:val="24"/>
        </w:rPr>
        <w:t>本</w:t>
      </w:r>
      <w:proofErr w:type="gramStart"/>
      <w:r>
        <w:rPr>
          <w:rFonts w:ascii="宋体" w:hAnsi="宋体"/>
          <w:bCs/>
          <w:sz w:val="24"/>
          <w:szCs w:val="24"/>
        </w:rPr>
        <w:t>基金基金</w:t>
      </w:r>
      <w:proofErr w:type="gramEnd"/>
      <w:r>
        <w:rPr>
          <w:rFonts w:ascii="宋体" w:hAnsi="宋体"/>
          <w:bCs/>
          <w:sz w:val="24"/>
          <w:szCs w:val="24"/>
        </w:rPr>
        <w:t>份额的行为即视为对《基金合同》的承认和接受，</w:t>
      </w:r>
      <w:r>
        <w:rPr>
          <w:rFonts w:ascii="宋体" w:hAnsi="宋体"/>
          <w:bCs/>
          <w:sz w:val="24"/>
          <w:szCs w:val="24"/>
        </w:rPr>
        <w:lastRenderedPageBreak/>
        <w:t>基金投资</w:t>
      </w:r>
      <w:r>
        <w:rPr>
          <w:rFonts w:ascii="宋体" w:hAnsi="宋体" w:hint="eastAsia"/>
          <w:bCs/>
          <w:sz w:val="24"/>
          <w:szCs w:val="24"/>
        </w:rPr>
        <w:t>人</w:t>
      </w:r>
      <w:proofErr w:type="gramStart"/>
      <w:r>
        <w:rPr>
          <w:rFonts w:ascii="宋体" w:hAnsi="宋体"/>
          <w:bCs/>
          <w:sz w:val="24"/>
          <w:szCs w:val="24"/>
        </w:rPr>
        <w:t>自依据</w:t>
      </w:r>
      <w:proofErr w:type="gramEnd"/>
      <w:r>
        <w:rPr>
          <w:rFonts w:ascii="宋体" w:hAnsi="宋体" w:hint="eastAsia"/>
          <w:bCs/>
          <w:sz w:val="24"/>
          <w:szCs w:val="24"/>
        </w:rPr>
        <w:t>《基金合同》</w:t>
      </w:r>
      <w:r>
        <w:rPr>
          <w:rFonts w:ascii="宋体" w:hAnsi="宋体"/>
          <w:bCs/>
          <w:sz w:val="24"/>
          <w:szCs w:val="24"/>
        </w:rPr>
        <w:t>取得基金份额，即成为本</w:t>
      </w:r>
      <w:proofErr w:type="gramStart"/>
      <w:r>
        <w:rPr>
          <w:rFonts w:ascii="宋体" w:hAnsi="宋体"/>
          <w:bCs/>
          <w:sz w:val="24"/>
          <w:szCs w:val="24"/>
        </w:rPr>
        <w:t>基金</w:t>
      </w:r>
      <w:r>
        <w:rPr>
          <w:rFonts w:ascii="宋体" w:hAnsi="宋体" w:hint="eastAsia"/>
          <w:bCs/>
          <w:sz w:val="24"/>
          <w:szCs w:val="24"/>
        </w:rPr>
        <w:t>基金</w:t>
      </w:r>
      <w:proofErr w:type="gramEnd"/>
      <w:r>
        <w:rPr>
          <w:rFonts w:ascii="宋体" w:hAnsi="宋体"/>
          <w:bCs/>
          <w:sz w:val="24"/>
          <w:szCs w:val="24"/>
        </w:rPr>
        <w:t>份额持有人和</w:t>
      </w:r>
      <w:r>
        <w:rPr>
          <w:rFonts w:ascii="宋体" w:hAnsi="宋体" w:hint="eastAsia"/>
          <w:bCs/>
          <w:sz w:val="24"/>
          <w:szCs w:val="24"/>
        </w:rPr>
        <w:t>《基金合同》</w:t>
      </w:r>
      <w:r>
        <w:rPr>
          <w:rFonts w:ascii="宋体" w:hAnsi="宋体"/>
          <w:bCs/>
          <w:sz w:val="24"/>
          <w:szCs w:val="24"/>
        </w:rPr>
        <w:t>的当事人，直至其不再持有本</w:t>
      </w:r>
      <w:proofErr w:type="gramStart"/>
      <w:r>
        <w:rPr>
          <w:rFonts w:ascii="宋体" w:hAnsi="宋体"/>
          <w:bCs/>
          <w:sz w:val="24"/>
          <w:szCs w:val="24"/>
        </w:rPr>
        <w:t>基金基金</w:t>
      </w:r>
      <w:proofErr w:type="gramEnd"/>
      <w:r>
        <w:rPr>
          <w:rFonts w:ascii="宋体" w:hAnsi="宋体"/>
          <w:bCs/>
          <w:sz w:val="24"/>
          <w:szCs w:val="24"/>
        </w:rPr>
        <w:t>份额。基金份额持有人作为</w:t>
      </w:r>
      <w:r>
        <w:rPr>
          <w:rFonts w:ascii="宋体" w:hAnsi="宋体" w:hint="eastAsia"/>
          <w:bCs/>
          <w:sz w:val="24"/>
          <w:szCs w:val="24"/>
        </w:rPr>
        <w:t>《基金合同》</w:t>
      </w:r>
      <w:r>
        <w:rPr>
          <w:rFonts w:ascii="宋体" w:hAnsi="宋体"/>
          <w:bCs/>
          <w:sz w:val="24"/>
          <w:szCs w:val="24"/>
        </w:rPr>
        <w:t>当事人并不以在</w:t>
      </w:r>
      <w:r>
        <w:rPr>
          <w:rFonts w:ascii="宋体" w:hAnsi="宋体" w:hint="eastAsia"/>
          <w:bCs/>
          <w:sz w:val="24"/>
          <w:szCs w:val="24"/>
        </w:rPr>
        <w:t>《基金合同》</w:t>
      </w:r>
      <w:r>
        <w:rPr>
          <w:rFonts w:ascii="宋体" w:hAnsi="宋体"/>
          <w:bCs/>
          <w:sz w:val="24"/>
          <w:szCs w:val="24"/>
        </w:rPr>
        <w:t>上书面签章或签字为必要条件。</w:t>
      </w:r>
    </w:p>
    <w:p w14:paraId="0843178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除法律法规另有规定或基金合同另有约定外，本基金同一类别每份基金份额具有同等的合法权益。本基金A类基金份额与</w:t>
      </w:r>
      <w:r>
        <w:rPr>
          <w:rFonts w:ascii="宋体" w:hAnsi="宋体"/>
          <w:bCs/>
          <w:sz w:val="24"/>
          <w:szCs w:val="24"/>
        </w:rPr>
        <w:t>C</w:t>
      </w:r>
      <w:r>
        <w:rPr>
          <w:rFonts w:ascii="宋体" w:hAnsi="宋体" w:hint="eastAsia"/>
          <w:bCs/>
          <w:sz w:val="24"/>
          <w:szCs w:val="24"/>
        </w:rPr>
        <w:t>类基金份额由于基金份额净值的不同，基金收益分配的金额以及参与清算后的剩余基金财产分配的数量将可能有所不同</w:t>
      </w:r>
      <w:r>
        <w:rPr>
          <w:rFonts w:ascii="宋体" w:hAnsi="宋体"/>
          <w:bCs/>
          <w:sz w:val="24"/>
          <w:szCs w:val="24"/>
        </w:rPr>
        <w:t>。</w:t>
      </w:r>
    </w:p>
    <w:p w14:paraId="10E9804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1、根据《基金法》、《运作办法》及其他有关规定，基金份额持有人的权利包括但不限于：</w:t>
      </w:r>
    </w:p>
    <w:p w14:paraId="68EA605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（1）分享基金财产收益；</w:t>
      </w:r>
    </w:p>
    <w:p w14:paraId="027F70F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（2）参与分配清算后的剩余基金财产；</w:t>
      </w:r>
    </w:p>
    <w:p w14:paraId="6E1E1291" w14:textId="77777777" w:rsidR="00166BB1" w:rsidRDefault="00166BB1">
      <w:pPr>
        <w:adjustRightInd w:val="0"/>
        <w:snapToGrid w:val="0"/>
        <w:spacing w:line="360" w:lineRule="auto"/>
        <w:ind w:firstLineChars="200" w:firstLine="480"/>
        <w:rPr>
          <w:rFonts w:ascii="宋体" w:hAnsi="宋体" w:cs="宋体"/>
          <w:bCs/>
          <w:sz w:val="24"/>
          <w:szCs w:val="24"/>
          <w:shd w:val="clear" w:color="FFFFFF" w:fill="D9D9D9"/>
        </w:rPr>
      </w:pPr>
      <w:r>
        <w:rPr>
          <w:rFonts w:ascii="宋体" w:hAnsi="宋体"/>
          <w:bCs/>
          <w:sz w:val="24"/>
          <w:szCs w:val="24"/>
        </w:rPr>
        <w:t>（3）</w:t>
      </w:r>
      <w:r>
        <w:rPr>
          <w:rFonts w:ascii="宋体" w:hAnsi="宋体" w:hint="eastAsia"/>
          <w:bCs/>
          <w:sz w:val="24"/>
          <w:szCs w:val="24"/>
        </w:rPr>
        <w:t>依法转让或者申请赎回其持有的基金份额</w:t>
      </w:r>
      <w:r>
        <w:rPr>
          <w:rFonts w:ascii="宋体" w:hAnsi="宋体"/>
          <w:bCs/>
          <w:sz w:val="24"/>
          <w:szCs w:val="24"/>
        </w:rPr>
        <w:t>；</w:t>
      </w:r>
    </w:p>
    <w:p w14:paraId="12BB262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（4）按照规定要求召开基金份额持有人大会</w:t>
      </w:r>
      <w:r>
        <w:rPr>
          <w:rFonts w:ascii="宋体" w:hAnsi="宋体" w:hint="eastAsia"/>
          <w:bCs/>
          <w:sz w:val="24"/>
          <w:szCs w:val="24"/>
        </w:rPr>
        <w:t>或者召集基金份额持有人大会</w:t>
      </w:r>
      <w:r>
        <w:rPr>
          <w:rFonts w:ascii="宋体" w:hAnsi="宋体"/>
          <w:bCs/>
          <w:sz w:val="24"/>
          <w:szCs w:val="24"/>
        </w:rPr>
        <w:t>；</w:t>
      </w:r>
    </w:p>
    <w:p w14:paraId="30B3C97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（5）出席或者委派代表出席基金份额持有人大会，对基金份额持有人大会审议事项行使表决权；出席或者委派代表出席目标ETF基金份额持有人大会，对目标ETF基金份额持有人大会审议事项行使表决权；</w:t>
      </w:r>
    </w:p>
    <w:p w14:paraId="7C439FA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（6）查阅或者复制公开披露的基金信息资料；</w:t>
      </w:r>
    </w:p>
    <w:p w14:paraId="4950E54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（7）监督基金管理人的投资运作；</w:t>
      </w:r>
    </w:p>
    <w:p w14:paraId="3F79526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（8）对基金管理人、基金托管人、基金</w:t>
      </w:r>
      <w:r>
        <w:rPr>
          <w:rFonts w:ascii="宋体" w:hAnsi="宋体" w:hint="eastAsia"/>
          <w:bCs/>
          <w:sz w:val="24"/>
          <w:szCs w:val="24"/>
        </w:rPr>
        <w:t>服务</w:t>
      </w:r>
      <w:r>
        <w:rPr>
          <w:rFonts w:ascii="宋体" w:hAnsi="宋体"/>
          <w:bCs/>
          <w:sz w:val="24"/>
          <w:szCs w:val="24"/>
        </w:rPr>
        <w:t>机构损害其合法权益的行为依法提起诉讼或仲裁；</w:t>
      </w:r>
    </w:p>
    <w:p w14:paraId="2C5BF3D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法律法规及中国证监会规定的和《基金合同》约定的其他</w:t>
      </w:r>
      <w:r>
        <w:rPr>
          <w:rFonts w:ascii="宋体" w:hAnsi="宋体"/>
          <w:bCs/>
          <w:sz w:val="24"/>
          <w:szCs w:val="24"/>
        </w:rPr>
        <w:t>权利。</w:t>
      </w:r>
    </w:p>
    <w:p w14:paraId="5EA5790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2、根据《基金法》、《运作办法》及其他有关规定，基金份额持有人的义务包括但不限于：</w:t>
      </w:r>
    </w:p>
    <w:p w14:paraId="0D22100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（1）认真阅读并遵守基金合同</w:t>
      </w:r>
      <w:r>
        <w:rPr>
          <w:rFonts w:ascii="宋体" w:hAnsi="宋体" w:hint="eastAsia"/>
          <w:bCs/>
          <w:sz w:val="24"/>
          <w:szCs w:val="24"/>
        </w:rPr>
        <w:t>、招募说明书、基金产品资料概要等信息披露文件</w:t>
      </w:r>
      <w:r>
        <w:rPr>
          <w:rFonts w:ascii="宋体" w:hAnsi="宋体"/>
          <w:bCs/>
          <w:sz w:val="24"/>
          <w:szCs w:val="24"/>
        </w:rPr>
        <w:t>；</w:t>
      </w:r>
    </w:p>
    <w:p w14:paraId="6ECD1B9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（2）了解所投资基金产品，了解自身风险承受能力，</w:t>
      </w:r>
      <w:r>
        <w:rPr>
          <w:rFonts w:ascii="宋体" w:hAnsi="宋体" w:hint="eastAsia"/>
          <w:bCs/>
          <w:sz w:val="24"/>
          <w:szCs w:val="24"/>
        </w:rPr>
        <w:t>自主判断基金的投资价值，自主做出投资决策，</w:t>
      </w:r>
      <w:r>
        <w:rPr>
          <w:rFonts w:ascii="宋体" w:hAnsi="宋体"/>
          <w:bCs/>
          <w:sz w:val="24"/>
          <w:szCs w:val="24"/>
        </w:rPr>
        <w:t>自行承担投资风险；</w:t>
      </w:r>
    </w:p>
    <w:p w14:paraId="4DA7EA7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（3）关注基金信息披露，及时行使权利和履行义务；</w:t>
      </w:r>
    </w:p>
    <w:p w14:paraId="3DDA87B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交</w:t>
      </w:r>
      <w:r>
        <w:rPr>
          <w:rFonts w:ascii="宋体" w:hAnsi="宋体"/>
          <w:bCs/>
          <w:sz w:val="24"/>
          <w:szCs w:val="24"/>
        </w:rPr>
        <w:t>纳基金认购、申购款项及法律法规和基金合同所规定的费用；</w:t>
      </w:r>
    </w:p>
    <w:p w14:paraId="0395189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（5）在其持有的基金份额范围内，承担基金亏损或者基金合同终止的有限</w:t>
      </w:r>
      <w:r>
        <w:rPr>
          <w:rFonts w:ascii="宋体" w:hAnsi="宋体"/>
          <w:bCs/>
          <w:sz w:val="24"/>
          <w:szCs w:val="24"/>
        </w:rPr>
        <w:lastRenderedPageBreak/>
        <w:t>责任；</w:t>
      </w:r>
    </w:p>
    <w:p w14:paraId="09DD8A5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（6）不从事任何有损基金及其他基金合同当事人合法权益的活动；</w:t>
      </w:r>
    </w:p>
    <w:p w14:paraId="1311D10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（7）执行生效的基金份额持有人大会的</w:t>
      </w:r>
      <w:r>
        <w:rPr>
          <w:rFonts w:ascii="宋体" w:hAnsi="宋体" w:hint="eastAsia"/>
          <w:bCs/>
          <w:sz w:val="24"/>
          <w:szCs w:val="24"/>
        </w:rPr>
        <w:t>决议</w:t>
      </w:r>
      <w:r>
        <w:rPr>
          <w:rFonts w:ascii="宋体" w:hAnsi="宋体"/>
          <w:bCs/>
          <w:sz w:val="24"/>
          <w:szCs w:val="24"/>
        </w:rPr>
        <w:t>；</w:t>
      </w:r>
    </w:p>
    <w:p w14:paraId="2D8CB8B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（8）返还在基金交易过程中因任何原因获得的不当得利；</w:t>
      </w:r>
    </w:p>
    <w:p w14:paraId="0A96D65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（9）向基金管理人和监管机构提供依法要求提供的信息，以及不时的更新和补充，并保证其真实性；</w:t>
      </w:r>
    </w:p>
    <w:p w14:paraId="57A89DB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（10）遵守基金管理人、基金托管人、销售机构和登记机构的相关交易及业务规则；</w:t>
      </w:r>
    </w:p>
    <w:p w14:paraId="7AB8645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（11）遵守中华人民共和国反洗</w:t>
      </w:r>
      <w:proofErr w:type="gramStart"/>
      <w:r>
        <w:rPr>
          <w:rFonts w:ascii="宋体" w:hAnsi="宋体" w:hint="eastAsia"/>
          <w:bCs/>
          <w:sz w:val="24"/>
          <w:szCs w:val="24"/>
        </w:rPr>
        <w:t>钱法律</w:t>
      </w:r>
      <w:proofErr w:type="gramEnd"/>
      <w:r>
        <w:rPr>
          <w:rFonts w:ascii="宋体" w:hAnsi="宋体" w:hint="eastAsia"/>
          <w:bCs/>
          <w:sz w:val="24"/>
          <w:szCs w:val="24"/>
        </w:rPr>
        <w:t>法规，配合基金管理人、基金托管人履行反洗钱职责；</w:t>
      </w:r>
    </w:p>
    <w:p w14:paraId="0EEDD05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w:t>
      </w:r>
      <w:r>
        <w:rPr>
          <w:rFonts w:ascii="宋体" w:hAnsi="宋体"/>
          <w:bCs/>
          <w:sz w:val="24"/>
          <w:szCs w:val="24"/>
        </w:rPr>
        <w:t>2</w:t>
      </w:r>
      <w:r>
        <w:rPr>
          <w:rFonts w:ascii="宋体" w:hAnsi="宋体" w:hint="eastAsia"/>
          <w:bCs/>
          <w:sz w:val="24"/>
          <w:szCs w:val="24"/>
        </w:rPr>
        <w:t>）</w:t>
      </w:r>
      <w:r>
        <w:rPr>
          <w:rFonts w:ascii="宋体" w:hAnsi="宋体"/>
          <w:bCs/>
          <w:sz w:val="24"/>
          <w:szCs w:val="24"/>
        </w:rPr>
        <w:t>法律法规及中国证监会规定的和基金合同约定的其他义务。</w:t>
      </w:r>
    </w:p>
    <w:p w14:paraId="545E941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（四）基金管理人、基金托管人简况涉及</w:t>
      </w:r>
      <w:r>
        <w:rPr>
          <w:rFonts w:ascii="宋体" w:hAnsi="宋体"/>
          <w:bCs/>
          <w:sz w:val="24"/>
          <w:szCs w:val="24"/>
        </w:rPr>
        <w:t>基本</w:t>
      </w:r>
      <w:r>
        <w:rPr>
          <w:rFonts w:ascii="宋体" w:hAnsi="宋体" w:hint="eastAsia"/>
          <w:bCs/>
          <w:sz w:val="24"/>
          <w:szCs w:val="24"/>
        </w:rPr>
        <w:t>信息更新的，将在招募说明书中更新，基金管理人、基金托管人简况以招募说明书（更新）中披露的信息为准。</w:t>
      </w:r>
    </w:p>
    <w:p w14:paraId="4B64F5B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二、基金份额持有人大会召集、议事及表决的程序和规则</w:t>
      </w:r>
    </w:p>
    <w:p w14:paraId="7B32B3B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基金份额持有人大会由基金份额持有人组成，基金份额持有人的合法授权代表有权代表基金份额持有人出席会议并表决。</w:t>
      </w:r>
      <w:r>
        <w:rPr>
          <w:rFonts w:ascii="宋体" w:hAnsi="宋体" w:hint="eastAsia"/>
          <w:bCs/>
          <w:sz w:val="24"/>
          <w:szCs w:val="24"/>
        </w:rPr>
        <w:t>除法律法规另有规定或基金合同另有约定外，</w:t>
      </w:r>
      <w:r>
        <w:rPr>
          <w:rFonts w:ascii="宋体" w:hAnsi="宋体"/>
          <w:bCs/>
          <w:sz w:val="24"/>
          <w:szCs w:val="24"/>
        </w:rPr>
        <w:t>基金份额持有人持有的每一基金份额拥有平等的投票权。</w:t>
      </w:r>
    </w:p>
    <w:p w14:paraId="6325253B" w14:textId="77777777" w:rsidR="00166BB1" w:rsidRDefault="00166BB1">
      <w:pPr>
        <w:snapToGrid w:val="0"/>
        <w:spacing w:line="360" w:lineRule="auto"/>
        <w:ind w:firstLine="480"/>
        <w:rPr>
          <w:rFonts w:ascii="宋体" w:hAnsi="宋体"/>
          <w:bCs/>
          <w:sz w:val="24"/>
          <w:szCs w:val="24"/>
        </w:rPr>
      </w:pPr>
      <w:proofErr w:type="gramStart"/>
      <w:r>
        <w:rPr>
          <w:rFonts w:ascii="宋体" w:hAnsi="宋体" w:hint="eastAsia"/>
          <w:bCs/>
          <w:sz w:val="24"/>
          <w:szCs w:val="24"/>
        </w:rPr>
        <w:t>鉴于本</w:t>
      </w:r>
      <w:proofErr w:type="gramEnd"/>
      <w:r>
        <w:rPr>
          <w:rFonts w:ascii="宋体" w:hAnsi="宋体" w:hint="eastAsia"/>
          <w:bCs/>
          <w:sz w:val="24"/>
          <w:szCs w:val="24"/>
        </w:rPr>
        <w:t>基金是目标ETF的联接基金，本基金的基金份额持有人可以凭所持有的本</w:t>
      </w:r>
      <w:proofErr w:type="gramStart"/>
      <w:r>
        <w:rPr>
          <w:rFonts w:ascii="宋体" w:hAnsi="宋体" w:hint="eastAsia"/>
          <w:bCs/>
          <w:sz w:val="24"/>
          <w:szCs w:val="24"/>
        </w:rPr>
        <w:t>基金基金</w:t>
      </w:r>
      <w:proofErr w:type="gramEnd"/>
      <w:r>
        <w:rPr>
          <w:rFonts w:ascii="宋体" w:hAnsi="宋体" w:hint="eastAsia"/>
          <w:bCs/>
          <w:sz w:val="24"/>
          <w:szCs w:val="24"/>
        </w:rPr>
        <w:t>份额直接出席或者委派代表出席目标ETF基金份额持有人大会并参与表决。在计算参会份额和票数时，本基金的基金份额持有人持有的享有表决权的参会份额数和表决票数为：在目标ETF基金份额持有人大会的权益登记日，本基金持有目标ETF基金份额的总数乘以该基金</w:t>
      </w:r>
      <w:r>
        <w:rPr>
          <w:rFonts w:ascii="宋体" w:hAnsi="宋体"/>
          <w:bCs/>
          <w:sz w:val="24"/>
          <w:szCs w:val="24"/>
        </w:rPr>
        <w:t>份额</w:t>
      </w:r>
      <w:r>
        <w:rPr>
          <w:rFonts w:ascii="宋体" w:hAnsi="宋体" w:hint="eastAsia"/>
          <w:bCs/>
          <w:sz w:val="24"/>
          <w:szCs w:val="24"/>
        </w:rPr>
        <w:t>持有人所持有的本</w:t>
      </w:r>
      <w:proofErr w:type="gramStart"/>
      <w:r>
        <w:rPr>
          <w:rFonts w:ascii="宋体" w:hAnsi="宋体" w:hint="eastAsia"/>
          <w:bCs/>
          <w:sz w:val="24"/>
          <w:szCs w:val="24"/>
        </w:rPr>
        <w:t>基金基金</w:t>
      </w:r>
      <w:proofErr w:type="gramEnd"/>
      <w:r>
        <w:rPr>
          <w:rFonts w:ascii="宋体" w:hAnsi="宋体" w:hint="eastAsia"/>
          <w:bCs/>
          <w:sz w:val="24"/>
          <w:szCs w:val="24"/>
        </w:rPr>
        <w:t>份额占本基金总份额的比例，计算结果按照四舍五入的方法，保留到整数位。本</w:t>
      </w:r>
      <w:proofErr w:type="gramStart"/>
      <w:r>
        <w:rPr>
          <w:rFonts w:ascii="宋体" w:hAnsi="宋体" w:hint="eastAsia"/>
          <w:bCs/>
          <w:sz w:val="24"/>
          <w:szCs w:val="24"/>
        </w:rPr>
        <w:t>基金基金</w:t>
      </w:r>
      <w:proofErr w:type="gramEnd"/>
      <w:r>
        <w:rPr>
          <w:rFonts w:ascii="宋体" w:hAnsi="宋体" w:hint="eastAsia"/>
          <w:bCs/>
          <w:sz w:val="24"/>
          <w:szCs w:val="24"/>
        </w:rPr>
        <w:t>份额折算为目标ETF后的每一参会份额和目标ETF的每一参会份额拥有平等的投票权。</w:t>
      </w:r>
    </w:p>
    <w:p w14:paraId="231239A7" w14:textId="77777777" w:rsidR="00166BB1" w:rsidRDefault="00166BB1">
      <w:pPr>
        <w:snapToGrid w:val="0"/>
        <w:spacing w:line="360" w:lineRule="auto"/>
        <w:ind w:firstLine="480"/>
        <w:rPr>
          <w:rFonts w:ascii="宋体" w:hAnsi="宋体"/>
          <w:bCs/>
          <w:sz w:val="24"/>
          <w:szCs w:val="24"/>
        </w:rPr>
      </w:pPr>
      <w:r>
        <w:rPr>
          <w:rFonts w:ascii="宋体" w:hAnsi="宋体" w:hint="eastAsia"/>
          <w:bCs/>
          <w:sz w:val="24"/>
          <w:szCs w:val="24"/>
        </w:rPr>
        <w:t>本基金的基金管理人不应以本基金的名义代表本基金的全体基金份额持有人以目标ETF的基金份额持有人的身份行使表决权，但可接受本基金的</w:t>
      </w:r>
      <w:proofErr w:type="gramStart"/>
      <w:r>
        <w:rPr>
          <w:rFonts w:ascii="宋体" w:hAnsi="宋体" w:hint="eastAsia"/>
          <w:bCs/>
          <w:sz w:val="24"/>
          <w:szCs w:val="24"/>
        </w:rPr>
        <w:t>特定基金</w:t>
      </w:r>
      <w:proofErr w:type="gramEnd"/>
      <w:r>
        <w:rPr>
          <w:rFonts w:ascii="宋体" w:hAnsi="宋体" w:hint="eastAsia"/>
          <w:bCs/>
          <w:sz w:val="24"/>
          <w:szCs w:val="24"/>
        </w:rPr>
        <w:t>份额持有人的委托以本基金的基金份额持有人代理人的身份出席目标ETF的基金份额持有人大会并参与表决。</w:t>
      </w:r>
    </w:p>
    <w:p w14:paraId="0D3A80C1" w14:textId="77777777" w:rsidR="00166BB1" w:rsidRDefault="00166BB1">
      <w:pPr>
        <w:snapToGrid w:val="0"/>
        <w:spacing w:line="360" w:lineRule="auto"/>
        <w:ind w:firstLine="480"/>
        <w:rPr>
          <w:rFonts w:ascii="宋体" w:hAnsi="宋体"/>
          <w:bCs/>
          <w:sz w:val="24"/>
          <w:szCs w:val="24"/>
        </w:rPr>
      </w:pPr>
      <w:r>
        <w:rPr>
          <w:rFonts w:ascii="宋体" w:hAnsi="宋体" w:hint="eastAsia"/>
          <w:bCs/>
          <w:sz w:val="24"/>
          <w:szCs w:val="24"/>
        </w:rPr>
        <w:t>本基金的基金管理人代表本基金的基金份额持有人提议召开或召集目标</w:t>
      </w:r>
      <w:r>
        <w:rPr>
          <w:rFonts w:ascii="宋体" w:hAnsi="宋体" w:hint="eastAsia"/>
          <w:bCs/>
          <w:sz w:val="24"/>
          <w:szCs w:val="24"/>
        </w:rPr>
        <w:lastRenderedPageBreak/>
        <w:t>ETF基金份额持有人大会的，须先遵照本基金《基金合同》的约定召开本基金的基金份额持有人大会，本基金的基金份额持有人大会决定提议召开或召集目标ETF基金份额持有人大会的，由本</w:t>
      </w:r>
      <w:proofErr w:type="gramStart"/>
      <w:r>
        <w:rPr>
          <w:rFonts w:ascii="宋体" w:hAnsi="宋体" w:hint="eastAsia"/>
          <w:bCs/>
          <w:sz w:val="24"/>
          <w:szCs w:val="24"/>
        </w:rPr>
        <w:t>基金基金</w:t>
      </w:r>
      <w:proofErr w:type="gramEnd"/>
      <w:r>
        <w:rPr>
          <w:rFonts w:ascii="宋体" w:hAnsi="宋体" w:hint="eastAsia"/>
          <w:bCs/>
          <w:sz w:val="24"/>
          <w:szCs w:val="24"/>
        </w:rPr>
        <w:t>管理人代表本基金的基金份额持有人提议召开或召集目标ETF基金份额持有人大会。</w:t>
      </w:r>
    </w:p>
    <w:p w14:paraId="186A31B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w:t>
      </w:r>
      <w:proofErr w:type="gramStart"/>
      <w:r>
        <w:rPr>
          <w:rFonts w:ascii="宋体" w:hAnsi="宋体" w:hint="eastAsia"/>
          <w:bCs/>
          <w:sz w:val="24"/>
          <w:szCs w:val="24"/>
        </w:rPr>
        <w:t>基金基金</w:t>
      </w:r>
      <w:proofErr w:type="gramEnd"/>
      <w:r>
        <w:rPr>
          <w:rFonts w:ascii="宋体" w:hAnsi="宋体" w:hint="eastAsia"/>
          <w:bCs/>
          <w:sz w:val="24"/>
          <w:szCs w:val="24"/>
        </w:rPr>
        <w:t>份额持有人大会不设日常机构。</w:t>
      </w:r>
    </w:p>
    <w:p w14:paraId="3D02563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若将来法律法规对基金份额持有人大会另有规定的，以届时有效的法律法规为准。</w:t>
      </w:r>
    </w:p>
    <w:p w14:paraId="1DB2EEF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（一）召开事由</w:t>
      </w:r>
    </w:p>
    <w:p w14:paraId="7486A29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除法律法规、中国证监会另有规定或基金合同另有约定外，当出现或需要决定下列事由之一的，应当召开基金份额持有人大会：</w:t>
      </w:r>
    </w:p>
    <w:p w14:paraId="6C19714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（1）终止基金合同；</w:t>
      </w:r>
    </w:p>
    <w:p w14:paraId="271B573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（2）更换基金管理人；</w:t>
      </w:r>
    </w:p>
    <w:p w14:paraId="5EEE535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（3）更换基金托管人；</w:t>
      </w:r>
    </w:p>
    <w:p w14:paraId="77FF1EF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（4）转换基金运作方式；</w:t>
      </w:r>
    </w:p>
    <w:p w14:paraId="1152FF8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w:t>
      </w:r>
      <w:r>
        <w:rPr>
          <w:rFonts w:ascii="宋体" w:hAnsi="宋体" w:hint="eastAsia"/>
          <w:bCs/>
          <w:sz w:val="24"/>
          <w:szCs w:val="24"/>
        </w:rPr>
        <w:t>调整</w:t>
      </w:r>
      <w:r>
        <w:rPr>
          <w:rFonts w:ascii="宋体" w:hAnsi="宋体"/>
          <w:bCs/>
          <w:sz w:val="24"/>
          <w:szCs w:val="24"/>
        </w:rPr>
        <w:t>基金管理人、基金托管人的报酬标准</w:t>
      </w:r>
      <w:r>
        <w:rPr>
          <w:rFonts w:ascii="宋体" w:hAnsi="宋体" w:hint="eastAsia"/>
          <w:bCs/>
          <w:sz w:val="24"/>
          <w:szCs w:val="24"/>
        </w:rPr>
        <w:t>或调高销售服务费率</w:t>
      </w:r>
      <w:r>
        <w:rPr>
          <w:rFonts w:ascii="宋体" w:hAnsi="宋体"/>
          <w:bCs/>
          <w:sz w:val="24"/>
          <w:szCs w:val="24"/>
        </w:rPr>
        <w:t>；</w:t>
      </w:r>
    </w:p>
    <w:p w14:paraId="3822DC1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（6）变更基金类别；</w:t>
      </w:r>
    </w:p>
    <w:p w14:paraId="2C62B26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（7）本基金与其他基金的合并；</w:t>
      </w:r>
    </w:p>
    <w:p w14:paraId="6162F4E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（8）变更基金投资目标、范围或策略；</w:t>
      </w:r>
    </w:p>
    <w:p w14:paraId="2C5A39C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（9）变更基金份额持有人大会程序；</w:t>
      </w:r>
    </w:p>
    <w:p w14:paraId="1C685F4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（10）基金管理人或基金托管人要求召开基金份额持有人大会；</w:t>
      </w:r>
    </w:p>
    <w:p w14:paraId="6B1C705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（11）单独或合计持有本基金总份额10%以上（含10%）基金份额的基金份额持有人（以基金管理人收到提议当日的基金份额计算，下同）就同一事项书面要求召开基金份额持有人大会；</w:t>
      </w:r>
    </w:p>
    <w:p w14:paraId="3D0EF7B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（12）对基金</w:t>
      </w:r>
      <w:r>
        <w:rPr>
          <w:rFonts w:ascii="宋体" w:hAnsi="宋体" w:hint="eastAsia"/>
          <w:bCs/>
          <w:sz w:val="24"/>
          <w:szCs w:val="24"/>
        </w:rPr>
        <w:t>合同</w:t>
      </w:r>
      <w:r>
        <w:rPr>
          <w:rFonts w:ascii="宋体" w:hAnsi="宋体"/>
          <w:bCs/>
          <w:sz w:val="24"/>
          <w:szCs w:val="24"/>
        </w:rPr>
        <w:t>当事人权利和义务产生重大影响的其他事项；</w:t>
      </w:r>
    </w:p>
    <w:p w14:paraId="0241612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（13）基金管理人代表本基金的基金份额持有人提议召开或召集目标ETF基金份额持有人大会；</w:t>
      </w:r>
    </w:p>
    <w:p w14:paraId="2137CCF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w:t>
      </w:r>
      <w:r>
        <w:rPr>
          <w:rFonts w:ascii="宋体" w:hAnsi="宋体" w:hint="eastAsia"/>
          <w:bCs/>
          <w:sz w:val="24"/>
          <w:szCs w:val="24"/>
        </w:rPr>
        <w:t>4</w:t>
      </w:r>
      <w:r>
        <w:rPr>
          <w:rFonts w:ascii="宋体" w:hAnsi="宋体"/>
          <w:bCs/>
          <w:sz w:val="24"/>
          <w:szCs w:val="24"/>
        </w:rPr>
        <w:t>）法律法规、基金合同或中国证监会规定的其他应当召开基金份额持有人大会的事项。</w:t>
      </w:r>
    </w:p>
    <w:p w14:paraId="74BEC60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w:t>
      </w:r>
      <w:r>
        <w:rPr>
          <w:rFonts w:ascii="宋体" w:hAnsi="宋体" w:hint="eastAsia"/>
          <w:bCs/>
          <w:sz w:val="24"/>
          <w:szCs w:val="24"/>
        </w:rPr>
        <w:t>在法律法规规定和基金合同约定的范围内且对基金份额持有人利益无实质性不利影响的前提下，</w:t>
      </w:r>
      <w:r>
        <w:rPr>
          <w:rFonts w:ascii="宋体" w:hAnsi="宋体"/>
          <w:bCs/>
          <w:sz w:val="24"/>
          <w:szCs w:val="24"/>
        </w:rPr>
        <w:t>以下情况可由基金管理人和基金托管人协商后修改，不</w:t>
      </w:r>
      <w:r>
        <w:rPr>
          <w:rFonts w:ascii="宋体" w:hAnsi="宋体"/>
          <w:bCs/>
          <w:sz w:val="24"/>
          <w:szCs w:val="24"/>
        </w:rPr>
        <w:lastRenderedPageBreak/>
        <w:t>需召开基金份额持有人大会：</w:t>
      </w:r>
    </w:p>
    <w:p w14:paraId="55BF97B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1</w:t>
      </w:r>
      <w:r>
        <w:rPr>
          <w:rFonts w:ascii="宋体" w:hAnsi="宋体" w:hint="eastAsia"/>
          <w:bCs/>
          <w:sz w:val="24"/>
          <w:szCs w:val="24"/>
        </w:rPr>
        <w:t>）法律法规要求增加的基金费用的收取；</w:t>
      </w:r>
    </w:p>
    <w:p w14:paraId="322B2E1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2</w:t>
      </w:r>
      <w:r>
        <w:rPr>
          <w:rFonts w:ascii="宋体" w:hAnsi="宋体" w:hint="eastAsia"/>
          <w:bCs/>
          <w:sz w:val="24"/>
          <w:szCs w:val="24"/>
        </w:rPr>
        <w:t>）</w:t>
      </w:r>
      <w:r>
        <w:rPr>
          <w:rFonts w:ascii="宋体" w:hAnsi="宋体"/>
          <w:bCs/>
          <w:sz w:val="24"/>
          <w:szCs w:val="24"/>
        </w:rPr>
        <w:t>调整本基金的申购费率</w:t>
      </w:r>
      <w:r>
        <w:rPr>
          <w:rFonts w:ascii="宋体" w:hAnsi="宋体" w:hint="eastAsia"/>
          <w:bCs/>
          <w:sz w:val="24"/>
          <w:szCs w:val="24"/>
        </w:rPr>
        <w:t>，</w:t>
      </w:r>
      <w:r>
        <w:rPr>
          <w:rFonts w:ascii="宋体" w:hAnsi="宋体"/>
          <w:bCs/>
          <w:sz w:val="24"/>
          <w:szCs w:val="24"/>
        </w:rPr>
        <w:t>调低销售服务费</w:t>
      </w:r>
      <w:r>
        <w:rPr>
          <w:rFonts w:ascii="宋体" w:hAnsi="宋体" w:hint="eastAsia"/>
          <w:bCs/>
          <w:sz w:val="24"/>
          <w:szCs w:val="24"/>
        </w:rPr>
        <w:t>率，或变更收费方式、调整基金份额类别设置；</w:t>
      </w:r>
    </w:p>
    <w:p w14:paraId="3D947C4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3</w:t>
      </w:r>
      <w:r>
        <w:rPr>
          <w:rFonts w:ascii="宋体" w:hAnsi="宋体" w:hint="eastAsia"/>
          <w:bCs/>
          <w:sz w:val="24"/>
          <w:szCs w:val="24"/>
        </w:rPr>
        <w:t>）</w:t>
      </w:r>
      <w:proofErr w:type="gramStart"/>
      <w:r>
        <w:rPr>
          <w:rFonts w:ascii="宋体" w:hAnsi="宋体" w:hint="eastAsia"/>
          <w:bCs/>
          <w:sz w:val="24"/>
          <w:szCs w:val="24"/>
        </w:rPr>
        <w:t>因相应</w:t>
      </w:r>
      <w:proofErr w:type="gramEnd"/>
      <w:r>
        <w:rPr>
          <w:rFonts w:ascii="宋体" w:hAnsi="宋体" w:hint="eastAsia"/>
          <w:bCs/>
          <w:sz w:val="24"/>
          <w:szCs w:val="24"/>
        </w:rPr>
        <w:t>的法律法规发生变动而应当对基金合同进行修改；</w:t>
      </w:r>
    </w:p>
    <w:p w14:paraId="046F972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4</w:t>
      </w:r>
      <w:r>
        <w:rPr>
          <w:rFonts w:ascii="宋体" w:hAnsi="宋体" w:hint="eastAsia"/>
          <w:bCs/>
          <w:sz w:val="24"/>
          <w:szCs w:val="24"/>
        </w:rPr>
        <w:t>）对基金合同的修改对基金份额持有人利益无实质性不利影响或修改不涉及基金合同当事人权利义务关系发生重大变化；</w:t>
      </w:r>
    </w:p>
    <w:p w14:paraId="4807000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5</w:t>
      </w:r>
      <w:r>
        <w:rPr>
          <w:rFonts w:ascii="宋体" w:hAnsi="宋体" w:hint="eastAsia"/>
          <w:bCs/>
          <w:sz w:val="24"/>
          <w:szCs w:val="24"/>
        </w:rPr>
        <w:t>）履行适当程序后，基金推出新业务或服务；</w:t>
      </w:r>
    </w:p>
    <w:p w14:paraId="4F98B0E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6</w:t>
      </w:r>
      <w:r>
        <w:rPr>
          <w:rFonts w:ascii="宋体" w:hAnsi="宋体" w:hint="eastAsia"/>
          <w:bCs/>
          <w:sz w:val="24"/>
          <w:szCs w:val="24"/>
        </w:rPr>
        <w:t>）基金管理人、登记机构、销售机构调整有关基金认购、申购、赎回、转换、</w:t>
      </w:r>
      <w:proofErr w:type="gramStart"/>
      <w:r>
        <w:rPr>
          <w:rFonts w:ascii="宋体" w:hAnsi="宋体" w:hint="eastAsia"/>
          <w:bCs/>
          <w:sz w:val="24"/>
          <w:szCs w:val="24"/>
        </w:rPr>
        <w:t>非交易</w:t>
      </w:r>
      <w:proofErr w:type="gramEnd"/>
      <w:r>
        <w:rPr>
          <w:rFonts w:ascii="宋体" w:hAnsi="宋体" w:hint="eastAsia"/>
          <w:bCs/>
          <w:sz w:val="24"/>
          <w:szCs w:val="24"/>
        </w:rPr>
        <w:t>过户、转托管及定期定额投资等业务的规则；</w:t>
      </w:r>
    </w:p>
    <w:p w14:paraId="2FC6AB9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）按照法律法规和《基金合同》规定不需召开基金份额持有人大会的其他情形。</w:t>
      </w:r>
    </w:p>
    <w:p w14:paraId="73B273E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（二）会议召集人及召集方式</w:t>
      </w:r>
    </w:p>
    <w:p w14:paraId="20149AB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1、除法律法规规定或基金合同另有约定外，基金份额持有人大会由基金管理人召集</w:t>
      </w:r>
      <w:r>
        <w:rPr>
          <w:rFonts w:ascii="宋体" w:hAnsi="宋体" w:hint="eastAsia"/>
          <w:bCs/>
          <w:sz w:val="24"/>
          <w:szCs w:val="24"/>
        </w:rPr>
        <w:t>。</w:t>
      </w:r>
    </w:p>
    <w:p w14:paraId="5181256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2、基金管理人未按规定召集或不能召</w:t>
      </w:r>
      <w:r>
        <w:rPr>
          <w:rFonts w:ascii="宋体" w:hAnsi="宋体" w:hint="eastAsia"/>
          <w:bCs/>
          <w:sz w:val="24"/>
          <w:szCs w:val="24"/>
        </w:rPr>
        <w:t>集</w:t>
      </w:r>
      <w:r>
        <w:rPr>
          <w:rFonts w:ascii="宋体" w:hAnsi="宋体"/>
          <w:bCs/>
          <w:sz w:val="24"/>
          <w:szCs w:val="24"/>
        </w:rPr>
        <w:t>时，由基金托管人召集</w:t>
      </w:r>
      <w:r>
        <w:rPr>
          <w:rFonts w:ascii="宋体" w:hAnsi="宋体" w:hint="eastAsia"/>
          <w:bCs/>
          <w:sz w:val="24"/>
          <w:szCs w:val="24"/>
        </w:rPr>
        <w:t>。</w:t>
      </w:r>
    </w:p>
    <w:p w14:paraId="62845A4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托管人认为有必要召开基金份额持有人大会的，应当向基金管理人提出书面提议。基金管理人应当自收到书面提议之日起10日内决定是否召集，并书面告知基金托管人。基金管理人决定召集的，应当自出具书面决定之日起60日内召开；基金管理人决定不召集，基金托管人仍认为有必要召开的，应当由基金托管人自行召集，并自出具书面决定之日起60日内召开并告知基金管理人，基金管理人应当配合。</w:t>
      </w:r>
    </w:p>
    <w:p w14:paraId="0A880D5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代表基金份额10%以上（含10%）的基金份额持有人就同一事项书面要求召开基金份额持有人大会，应当向基金管理人提出书面提议。基金管理人应当自收到书面提议之日起10日内决定是否召集，并书面告知提出提议的基金份额持有人代表和基金托管人。基金管理人决定召集的，应当自出具书面决定之日起60日内召开；基金管理人决定不召集，代表基金份额10%以上（含10%）的基金份额持有人仍认为有必要召开的，应当向基金托管人提出书面提议。基金托管人应当自收到书面提议之日起10日内决定是否召集，并书面告知提出提议的基金份额持有人代表和基金管理人；基金托管人决定召集的，应当自出具书面决定之日</w:t>
      </w:r>
      <w:r>
        <w:rPr>
          <w:rFonts w:ascii="宋体" w:hAnsi="宋体" w:hint="eastAsia"/>
          <w:bCs/>
          <w:sz w:val="24"/>
          <w:szCs w:val="24"/>
        </w:rPr>
        <w:lastRenderedPageBreak/>
        <w:t>起60日内召开，并告知基金管理人，基金管理人应当配合。</w:t>
      </w:r>
    </w:p>
    <w:p w14:paraId="2073A6C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5、代表基金份额</w:t>
      </w:r>
      <w:r>
        <w:rPr>
          <w:rFonts w:ascii="宋体" w:hAnsi="宋体" w:hint="eastAsia"/>
          <w:bCs/>
          <w:sz w:val="24"/>
          <w:szCs w:val="24"/>
        </w:rPr>
        <w:t>10%</w:t>
      </w:r>
      <w:r>
        <w:rPr>
          <w:rFonts w:ascii="宋体" w:hAnsi="宋体"/>
          <w:bCs/>
          <w:sz w:val="24"/>
          <w:szCs w:val="24"/>
        </w:rPr>
        <w:t>以上（含</w:t>
      </w:r>
      <w:r>
        <w:rPr>
          <w:rFonts w:ascii="宋体" w:hAnsi="宋体" w:hint="eastAsia"/>
          <w:bCs/>
          <w:sz w:val="24"/>
          <w:szCs w:val="24"/>
        </w:rPr>
        <w:t>10%</w:t>
      </w:r>
      <w:r>
        <w:rPr>
          <w:rFonts w:ascii="宋体" w:hAnsi="宋体"/>
          <w:bCs/>
          <w:sz w:val="24"/>
          <w:szCs w:val="24"/>
        </w:rPr>
        <w:t>）的基金份额持有人就同一事项要求召开基金份额持有人大会，而基金管理人、基金托管人都不召集的，单独或合计代表基金份额</w:t>
      </w:r>
      <w:r>
        <w:rPr>
          <w:rFonts w:ascii="宋体" w:hAnsi="宋体" w:hint="eastAsia"/>
          <w:bCs/>
          <w:sz w:val="24"/>
          <w:szCs w:val="24"/>
        </w:rPr>
        <w:t>10%</w:t>
      </w:r>
      <w:r>
        <w:rPr>
          <w:rFonts w:ascii="宋体" w:hAnsi="宋体"/>
          <w:bCs/>
          <w:sz w:val="24"/>
          <w:szCs w:val="24"/>
        </w:rPr>
        <w:t>以上（含</w:t>
      </w:r>
      <w:r>
        <w:rPr>
          <w:rFonts w:ascii="宋体" w:hAnsi="宋体" w:hint="eastAsia"/>
          <w:bCs/>
          <w:sz w:val="24"/>
          <w:szCs w:val="24"/>
        </w:rPr>
        <w:t>10%</w:t>
      </w:r>
      <w:r>
        <w:rPr>
          <w:rFonts w:ascii="宋体" w:hAnsi="宋体"/>
          <w:bCs/>
          <w:sz w:val="24"/>
          <w:szCs w:val="24"/>
        </w:rPr>
        <w:t>）的基金份额持有人有权自行召集，并至少提前30日报中国证监会备案。基金份额持有人依法自行召集基金份额持有人大会的，基金管理人、基金托管人应当配合，不得阻碍、干扰。</w:t>
      </w:r>
    </w:p>
    <w:p w14:paraId="0FD11B2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6、基金份额持有人会议的召集人负责选择确定开会时间、地点、方式和权益登记日。</w:t>
      </w:r>
    </w:p>
    <w:p w14:paraId="640B3CE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（三）召开基金份额持有人大会的通知时间、通知内容、通知方式</w:t>
      </w:r>
    </w:p>
    <w:p w14:paraId="1E2C10F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1、召开基金份额持有人大会，召集人应于会议召开前30日，在规定媒介公告。基金份额持有人大会通知应至少载明以下内容：</w:t>
      </w:r>
    </w:p>
    <w:p w14:paraId="1B9352D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（1）会议召开的时间、地点和会议形式；</w:t>
      </w:r>
    </w:p>
    <w:p w14:paraId="7DDD885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（2）会议</w:t>
      </w:r>
      <w:proofErr w:type="gramStart"/>
      <w:r>
        <w:rPr>
          <w:rFonts w:ascii="宋体" w:hAnsi="宋体"/>
          <w:bCs/>
          <w:sz w:val="24"/>
          <w:szCs w:val="24"/>
        </w:rPr>
        <w:t>拟审议</w:t>
      </w:r>
      <w:proofErr w:type="gramEnd"/>
      <w:r>
        <w:rPr>
          <w:rFonts w:ascii="宋体" w:hAnsi="宋体"/>
          <w:bCs/>
          <w:sz w:val="24"/>
          <w:szCs w:val="24"/>
        </w:rPr>
        <w:t>的事项、议事程序和表决方式；</w:t>
      </w:r>
    </w:p>
    <w:p w14:paraId="36C3B4E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（3）有权出席基金份额持有人大会的基金份额持有人的权益登记日；</w:t>
      </w:r>
    </w:p>
    <w:p w14:paraId="0D004A0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（4）授权委托证明的内容要求（包括但不限于代理人身份，代理权限和代理有效期限等）、送达时间和地点</w:t>
      </w:r>
      <w:r>
        <w:rPr>
          <w:rFonts w:ascii="宋体" w:hAnsi="宋体" w:hint="eastAsia"/>
          <w:bCs/>
          <w:sz w:val="24"/>
          <w:szCs w:val="24"/>
        </w:rPr>
        <w:t>；</w:t>
      </w:r>
    </w:p>
    <w:p w14:paraId="5F25B4C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（5）会务常设联系人姓名及联系电话；</w:t>
      </w:r>
    </w:p>
    <w:p w14:paraId="4495314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（6）出席会议者必须准备的文件和必须履行的手续；</w:t>
      </w:r>
    </w:p>
    <w:p w14:paraId="2A8F40D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（7）召集人需要通知的其他事项。</w:t>
      </w:r>
    </w:p>
    <w:p w14:paraId="54B8253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2、采取通讯开会方式并进行表决的情况下，由会议召集人决定在会议通知中说明本次基金份额持有人大会所采取的具体通讯方式、委托的公证机关及其联系方式和联系人、表决意见提交的截止时间和收取方式。</w:t>
      </w:r>
    </w:p>
    <w:p w14:paraId="377995E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如召集人为基金管理人，还应另行通知基金托管人到指定地点对表决意见的计票进行监督；如召集人为基金托管人，则应另行通知基金管理人到指定地点对表决意见的计票进行监督；如召集人为基金份额持有人，则应另行通知基金管理人和基金托管人到指定地点对表决意见的计票进行监督。基金管理人或基金托管人</w:t>
      </w:r>
      <w:proofErr w:type="gramStart"/>
      <w:r>
        <w:rPr>
          <w:rFonts w:ascii="宋体" w:hAnsi="宋体" w:hint="eastAsia"/>
          <w:bCs/>
          <w:sz w:val="24"/>
          <w:szCs w:val="24"/>
        </w:rPr>
        <w:t>拒不派</w:t>
      </w:r>
      <w:proofErr w:type="gramEnd"/>
      <w:r>
        <w:rPr>
          <w:rFonts w:ascii="宋体" w:hAnsi="宋体" w:hint="eastAsia"/>
          <w:bCs/>
          <w:sz w:val="24"/>
          <w:szCs w:val="24"/>
        </w:rPr>
        <w:t>代表对表决意见的计票进行监督的，不影响表决意见的计票效力。</w:t>
      </w:r>
    </w:p>
    <w:p w14:paraId="4E78018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（四）基金份额持有人出席会议的方式</w:t>
      </w:r>
    </w:p>
    <w:p w14:paraId="6CE0612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基金份额持有人大会可通过现场开会方式、通讯开会方式或法律法规、监管机构允许的其他方式召开，会议的召开方式由会议召集人确定。</w:t>
      </w:r>
    </w:p>
    <w:p w14:paraId="76FAFFD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1、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6358E4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1FA03C6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（2）经核对，汇总到会者出示的在权益登记日持有基金份额的凭证显示，有效的基金份额不少于本基金在权益登记日基金总份额的</w:t>
      </w:r>
      <w:r>
        <w:rPr>
          <w:rFonts w:ascii="宋体" w:hAnsi="宋体"/>
          <w:bCs/>
          <w:sz w:val="24"/>
          <w:szCs w:val="24"/>
        </w:rPr>
        <w:t>二分之一</w:t>
      </w:r>
      <w:r>
        <w:rPr>
          <w:rFonts w:ascii="宋体" w:hAnsi="宋体" w:hint="eastAsia"/>
          <w:bCs/>
          <w:sz w:val="24"/>
          <w:szCs w:val="24"/>
        </w:rPr>
        <w:t>（含</w:t>
      </w:r>
      <w:r>
        <w:rPr>
          <w:rFonts w:ascii="宋体" w:hAnsi="宋体"/>
          <w:bCs/>
          <w:sz w:val="24"/>
          <w:szCs w:val="24"/>
        </w:rPr>
        <w:t>二分之一</w:t>
      </w:r>
      <w:r>
        <w:rPr>
          <w:rFonts w:ascii="宋体" w:hAnsi="宋体" w:hint="eastAsia"/>
          <w:bCs/>
          <w:sz w:val="24"/>
          <w:szCs w:val="24"/>
        </w:rPr>
        <w:t>）。若到会者在权益登记日代表的有效的基金份额少于本基金在权益登记日基金总份额的二分之一，召集人可以在原公告的基金份额持有人大会召开时间的3个月以后、6个月以内，就原定审议事项重新召集基金份额持有人大会。重新召集的基金份额持有人大会到会者在权益登记日代表的有效的基金份额应不少于本基金在权益登记日基金总份额的三分之一（含三分之一）。</w:t>
      </w:r>
    </w:p>
    <w:p w14:paraId="6139B92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通讯开会。通讯开会系指按照本基金合同的相关规定以召集人通知的非现场方式（包括书面、网络、电话、短信或其他方式）进行表决，基金份额持有人将其对表决事项的投票以召集人通知载明的非现场方式在表决截止日以前送达至召集人指定的地址或系统。</w:t>
      </w:r>
    </w:p>
    <w:p w14:paraId="7E81959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在同时符合以下条件时，通讯开会的方式视为有效：</w:t>
      </w:r>
    </w:p>
    <w:p w14:paraId="4C549C1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（1）会议召集人按基金合同约定公布会议通知后，在</w:t>
      </w:r>
      <w:r>
        <w:rPr>
          <w:rFonts w:ascii="宋体" w:hAnsi="宋体" w:hint="eastAsia"/>
          <w:bCs/>
          <w:sz w:val="24"/>
          <w:szCs w:val="24"/>
        </w:rPr>
        <w:t>2</w:t>
      </w:r>
      <w:r>
        <w:rPr>
          <w:rFonts w:ascii="宋体" w:hAnsi="宋体"/>
          <w:bCs/>
          <w:sz w:val="24"/>
          <w:szCs w:val="24"/>
        </w:rPr>
        <w:t>个工作日内连续公布相关提示性公告；</w:t>
      </w:r>
    </w:p>
    <w:p w14:paraId="64F42CB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0663471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本人直接出具表决意见或授权他人代表出具表决意见的，基金份额持有人所持有的基金份额不小于在权益登记日基金总份额的二分之一（含二分之一）；若本人直接出具表决意见或授权他人代表出具表决意见的基金份额持有人</w:t>
      </w:r>
      <w:r>
        <w:rPr>
          <w:rFonts w:ascii="宋体" w:hAnsi="宋体" w:hint="eastAsia"/>
          <w:bCs/>
          <w:sz w:val="24"/>
          <w:szCs w:val="24"/>
        </w:rPr>
        <w:lastRenderedPageBreak/>
        <w:t>所持有的基金份额小于在权益登记日基金总份额的二分之一，召集人可以在原公告的基金份额持有人大会召开时间的3个月以后、6个月以内，就原定审议事项重新召集基金份额持有人大会。重新召集的基金份额持有人大会应当有代表三分之一以上（含三分之一）基金份额的基金份额持有人直接出具表决意见或授权他人代表出具表决意见；</w:t>
      </w:r>
    </w:p>
    <w:p w14:paraId="29AAE71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上述第（3）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1C703DD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在不违反法律法规或监管机构规定的情况下，经会议通知载明，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19021F5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4、基金份额持有人授权他人代为出席会议并表决的，在不违反法律法规或监管机构规定的情况下，授权方式可以采用书面、网络、电话、短信或其他方式，召集人接受的具体授权方式在会议通知中列明。</w:t>
      </w:r>
    </w:p>
    <w:p w14:paraId="01789D6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（五）议事内容与程序</w:t>
      </w:r>
    </w:p>
    <w:p w14:paraId="0B3B41A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1、议事内容及提案权</w:t>
      </w:r>
    </w:p>
    <w:p w14:paraId="7B515C5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r>
        <w:rPr>
          <w:rFonts w:ascii="宋体" w:hAnsi="宋体" w:hint="eastAsia"/>
          <w:bCs/>
          <w:sz w:val="24"/>
          <w:szCs w:val="24"/>
        </w:rPr>
        <w:t>（但本基金合同另有约定的除外）</w:t>
      </w:r>
      <w:r>
        <w:rPr>
          <w:rFonts w:ascii="宋体" w:hAnsi="宋体"/>
          <w:bCs/>
          <w:sz w:val="24"/>
          <w:szCs w:val="24"/>
        </w:rPr>
        <w:t>。</w:t>
      </w:r>
    </w:p>
    <w:p w14:paraId="7B51147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基金托管人、单独或合并持有权益登记日基金总份额10%（含10%）以上的基金份额持有人可以在基金份额持有人大会召集人发出会议通知前向大会召集人提交需由基金份额持有人大会审议表决的提案；也可以在会议通知发出后向大会召集人提交临时提案。</w:t>
      </w:r>
    </w:p>
    <w:p w14:paraId="708B162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基金份额持有人大会的召集人发出</w:t>
      </w:r>
      <w:r>
        <w:rPr>
          <w:rFonts w:ascii="宋体" w:hAnsi="宋体" w:hint="eastAsia"/>
          <w:bCs/>
          <w:sz w:val="24"/>
          <w:szCs w:val="24"/>
        </w:rPr>
        <w:t>召集</w:t>
      </w:r>
      <w:r>
        <w:rPr>
          <w:rFonts w:ascii="宋体" w:hAnsi="宋体"/>
          <w:bCs/>
          <w:sz w:val="24"/>
          <w:szCs w:val="24"/>
        </w:rPr>
        <w:t>会议的通知后，</w:t>
      </w:r>
      <w:r>
        <w:rPr>
          <w:rFonts w:ascii="宋体" w:hAnsi="宋体" w:hint="eastAsia"/>
          <w:bCs/>
          <w:sz w:val="24"/>
          <w:szCs w:val="24"/>
        </w:rPr>
        <w:t>对原有提案的修改应当在基金份额持有人大会召开前及时公告。</w:t>
      </w:r>
    </w:p>
    <w:p w14:paraId="22DD0EC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基金份额持有人大会不得对未事先公告的议事内容进行表决。</w:t>
      </w:r>
    </w:p>
    <w:p w14:paraId="158C24C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召集人对于基金管理人、基金托管人和基金份额持有人提交的临时提案进行审核，符合条件的应当在大会召开日30天前公告。大会召集人应当按照以下原则对提案进行审核：</w:t>
      </w:r>
    </w:p>
    <w:p w14:paraId="3C6BF39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关联性。大会召集人对于提案涉及事项与基金有直接关系，并且不超出法律法规和基金合同规定的基金份额持有人大会职权范围的，应提交大会审议；对于不符合上述要求的，不提交基金份额持有人大会审议。如果召集人决定不将基金份额持有人提案提交大会表决，应当在该次基金份额持有人大会上进行解释和说明。</w:t>
      </w:r>
    </w:p>
    <w:p w14:paraId="146D712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程序性。大会召集人可以对提案涉及的程序性问题做出决定。如将提案进行分拆或合并表决，需征得原提案人同意；原提案人不同意变更的，大会主持人可以就程序性问题提请基金份额持有人大会做出决定，并按照基金份额持有人大会决定的程序进行审议。</w:t>
      </w:r>
    </w:p>
    <w:p w14:paraId="459BAC7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2、议事程序</w:t>
      </w:r>
    </w:p>
    <w:p w14:paraId="0033C79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（1）现场开会</w:t>
      </w:r>
    </w:p>
    <w:p w14:paraId="5D7BCEF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现场开会的方式下，首先由大会主持人按照规定程序宣布会议议事程序及注意事项，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50%以上（含50%）选举产生一名基金份额持有人作为该次基金份额持有人大会的主持人。基金管理人和基金托管人拒不出席或主持基金份额持有人大会，不影响基金份额持有人大会</w:t>
      </w:r>
      <w:proofErr w:type="gramStart"/>
      <w:r>
        <w:rPr>
          <w:rFonts w:ascii="宋体" w:hAnsi="宋体" w:hint="eastAsia"/>
          <w:bCs/>
          <w:sz w:val="24"/>
          <w:szCs w:val="24"/>
        </w:rPr>
        <w:t>作出</w:t>
      </w:r>
      <w:proofErr w:type="gramEnd"/>
      <w:r>
        <w:rPr>
          <w:rFonts w:ascii="宋体" w:hAnsi="宋体" w:hint="eastAsia"/>
          <w:bCs/>
          <w:sz w:val="24"/>
          <w:szCs w:val="24"/>
        </w:rPr>
        <w:t>的决议的效力。</w:t>
      </w:r>
    </w:p>
    <w:p w14:paraId="71BF593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会议召集人应当制作出席会议人员的签名册。签名</w:t>
      </w:r>
      <w:proofErr w:type="gramStart"/>
      <w:r>
        <w:rPr>
          <w:rFonts w:ascii="宋体" w:hAnsi="宋体"/>
          <w:bCs/>
          <w:sz w:val="24"/>
          <w:szCs w:val="24"/>
        </w:rPr>
        <w:t>册</w:t>
      </w:r>
      <w:proofErr w:type="gramEnd"/>
      <w:r>
        <w:rPr>
          <w:rFonts w:ascii="宋体" w:hAnsi="宋体"/>
          <w:bCs/>
          <w:sz w:val="24"/>
          <w:szCs w:val="24"/>
        </w:rPr>
        <w:t>载明参加会议人员姓名（或单位名称）、身份证明文件号码、持有或代表有表决权的基金份额、委托人姓名（或单位名称）和联系方式等事项。</w:t>
      </w:r>
    </w:p>
    <w:p w14:paraId="54CE241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（2）通讯开会</w:t>
      </w:r>
    </w:p>
    <w:p w14:paraId="034A638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在通讯开会的情况下，首先由召集人提前</w:t>
      </w:r>
      <w:r>
        <w:rPr>
          <w:rFonts w:ascii="宋体" w:hAnsi="宋体" w:hint="eastAsia"/>
          <w:bCs/>
          <w:sz w:val="24"/>
          <w:szCs w:val="24"/>
        </w:rPr>
        <w:t>30</w:t>
      </w:r>
      <w:r>
        <w:rPr>
          <w:rFonts w:ascii="宋体" w:hAnsi="宋体"/>
          <w:bCs/>
          <w:sz w:val="24"/>
          <w:szCs w:val="24"/>
        </w:rPr>
        <w:t>日公布提案，在所通知的表决截止日期后2个工作日内在公证机关监督下由召集人统计全部有效表决，在公证机关监督下形成决议。</w:t>
      </w:r>
    </w:p>
    <w:p w14:paraId="57D963E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（六）表决</w:t>
      </w:r>
    </w:p>
    <w:p w14:paraId="49DB36D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基金份额持有人所持每份基金份额有一票表决权。</w:t>
      </w:r>
    </w:p>
    <w:p w14:paraId="79D2D7D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基金份额持有人大会决议分为一般决议和特别决议：</w:t>
      </w:r>
    </w:p>
    <w:p w14:paraId="28AF9D9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一般决议，一般决议须经参加大会的基金份额持有人或其代理人所持表决权的二分之一以上（含二分之一）通过方为有效；除下列第2项所规定的须以特别决议通过事项以外的其他事项均以一般决议的方式通过。</w:t>
      </w:r>
    </w:p>
    <w:p w14:paraId="743C6F5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特别决议，特别决议应当经参加大会的基金份额持有人或其代理人所持表决权的三分之二以上（含三分之二）通过方可做出。除法律法规、监管机构另有规定或本基金合同另有约定外，转换基金运作方式、更换基金管理人或者基金托管人、终止基金合同、本基金与其他基金合并以特别决议通过方为有效。</w:t>
      </w:r>
    </w:p>
    <w:p w14:paraId="4D88F24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基金份额持有人大会采取记名方式进行投票表决。</w:t>
      </w:r>
    </w:p>
    <w:p w14:paraId="19C3E10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采取通讯方式进行表决时，除非在计票时监督员及公证机关均认为有充分的相反证据证明，否则提交符合会议通知中规定的确认投资人身份文件的表决视为有效出席的投资人，表面符合会议通知规定的表决意见视为有效表决，表决意见模糊不清或相互矛盾的视为弃权表决，但应当计入出具表决意见的基金份额持有人所代表的基金份额总数。</w:t>
      </w:r>
    </w:p>
    <w:p w14:paraId="0A9C320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基金份额持有人大会的各项提案或同一项提案内并列的各项议题应当分开审议、逐项表决。</w:t>
      </w:r>
    </w:p>
    <w:p w14:paraId="25379BF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在上述规则的前提下，具体规则以召集人发布的基金份额持有人大会通知为准。</w:t>
      </w:r>
    </w:p>
    <w:p w14:paraId="61665A3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（七）计票</w:t>
      </w:r>
    </w:p>
    <w:p w14:paraId="2EA0F9B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1、现场开会</w:t>
      </w:r>
    </w:p>
    <w:p w14:paraId="7099426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Pr>
          <w:rFonts w:ascii="宋体" w:hAnsi="宋体" w:hint="eastAsia"/>
          <w:bCs/>
          <w:sz w:val="24"/>
          <w:szCs w:val="24"/>
        </w:rPr>
        <w:t>或大会</w:t>
      </w:r>
      <w:proofErr w:type="gramEnd"/>
      <w:r>
        <w:rPr>
          <w:rFonts w:ascii="宋体" w:hAnsi="宋体" w:hint="eastAsia"/>
          <w:bCs/>
          <w:sz w:val="24"/>
          <w:szCs w:val="24"/>
        </w:rPr>
        <w:t>虽然由基金管理人或基金托管人召集，但是基金管理人或基金托管人未出席大会的，基金份额持有人大会的主持人应当在会议开始后宣布在出席会议的基金份额持有人和代理人中选举三名基金份额持有人代表担任监票人。基金管理人或基金托管人不出席大会的，不影响计票的效力。</w:t>
      </w:r>
    </w:p>
    <w:p w14:paraId="4295C14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（2）监票人应当在基金份额持有人表决后立即进行清点并由大会主持人当场公布计票结果。</w:t>
      </w:r>
    </w:p>
    <w:p w14:paraId="0624F33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（3）如果会议主持人或基金份额持有人或代理人对于提交的表决结果有异议，可以在宣布表决结果后立即对所投票</w:t>
      </w:r>
      <w:proofErr w:type="gramStart"/>
      <w:r>
        <w:rPr>
          <w:rFonts w:ascii="宋体" w:hAnsi="宋体" w:hint="eastAsia"/>
          <w:bCs/>
          <w:sz w:val="24"/>
          <w:szCs w:val="24"/>
        </w:rPr>
        <w:t>数要求</w:t>
      </w:r>
      <w:proofErr w:type="gramEnd"/>
      <w:r>
        <w:rPr>
          <w:rFonts w:ascii="宋体" w:hAnsi="宋体" w:hint="eastAsia"/>
          <w:bCs/>
          <w:sz w:val="24"/>
          <w:szCs w:val="24"/>
        </w:rPr>
        <w:t>进行重新清点。监票人应当进行重新清点，重新清点以一次为限。重新清点后，大会主持人应当当场公布重新清点结果。</w:t>
      </w:r>
    </w:p>
    <w:p w14:paraId="5292B1A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（4）计票过程应由公证机关予以公证，基金管理人或基金托管人拒不出席大会的，不影响计票的效力。</w:t>
      </w:r>
    </w:p>
    <w:p w14:paraId="60B67AD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2、通讯开会</w:t>
      </w:r>
    </w:p>
    <w:p w14:paraId="5393206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Pr>
          <w:rFonts w:ascii="宋体" w:hAnsi="宋体" w:hint="eastAsia"/>
          <w:bCs/>
          <w:sz w:val="24"/>
          <w:szCs w:val="24"/>
        </w:rPr>
        <w:t>人拒派</w:t>
      </w:r>
      <w:proofErr w:type="gramEnd"/>
      <w:r>
        <w:rPr>
          <w:rFonts w:ascii="宋体" w:hAnsi="宋体" w:hint="eastAsia"/>
          <w:bCs/>
          <w:sz w:val="24"/>
          <w:szCs w:val="24"/>
        </w:rPr>
        <w:t>代表对表决意见的计票进行监督的，不影响计票和表决结果。</w:t>
      </w:r>
    </w:p>
    <w:p w14:paraId="4E50211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（八）生效与公告</w:t>
      </w:r>
    </w:p>
    <w:p w14:paraId="7313006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基金份额持有人大会的决议，召集人应当自通过之日起</w:t>
      </w:r>
      <w:r>
        <w:rPr>
          <w:rFonts w:ascii="宋体" w:hAnsi="宋体" w:hint="eastAsia"/>
          <w:bCs/>
          <w:sz w:val="24"/>
          <w:szCs w:val="24"/>
        </w:rPr>
        <w:t>5</w:t>
      </w:r>
      <w:r>
        <w:rPr>
          <w:rFonts w:ascii="宋体" w:hAnsi="宋体"/>
          <w:bCs/>
          <w:sz w:val="24"/>
          <w:szCs w:val="24"/>
        </w:rPr>
        <w:t>日内报中国证监会备案。</w:t>
      </w:r>
    </w:p>
    <w:p w14:paraId="3B02F8A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基金份额持有人大会的决议自表决通过之日起生效。</w:t>
      </w:r>
    </w:p>
    <w:p w14:paraId="7C0945E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基金份额持有人大会决议自生效之日起依照《信息披露办法》的有关规定在规定媒介上公告。</w:t>
      </w:r>
    </w:p>
    <w:p w14:paraId="0ACA993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基金管理人、基金托管人和基金份额持有人应当执行生效的基金份额持有人大会的决议。生效的基金份额持有人大会决议对全体基金份额持有人、基金管理人、基金托管人均有约束力。</w:t>
      </w:r>
    </w:p>
    <w:p w14:paraId="196489C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（九）实施</w:t>
      </w:r>
      <w:proofErr w:type="gramStart"/>
      <w:r>
        <w:rPr>
          <w:rFonts w:ascii="宋体" w:hAnsi="宋体" w:hint="eastAsia"/>
          <w:bCs/>
          <w:sz w:val="24"/>
          <w:szCs w:val="24"/>
        </w:rPr>
        <w:t>侧袋机制</w:t>
      </w:r>
      <w:proofErr w:type="gramEnd"/>
      <w:r>
        <w:rPr>
          <w:rFonts w:ascii="宋体" w:hAnsi="宋体" w:hint="eastAsia"/>
          <w:bCs/>
          <w:sz w:val="24"/>
          <w:szCs w:val="24"/>
        </w:rPr>
        <w:t>期间基金份额持有人大会的特殊约定</w:t>
      </w:r>
    </w:p>
    <w:p w14:paraId="4105827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若本基金</w:t>
      </w:r>
      <w:proofErr w:type="gramStart"/>
      <w:r>
        <w:rPr>
          <w:rFonts w:ascii="宋体" w:hAnsi="宋体" w:hint="eastAsia"/>
          <w:bCs/>
          <w:sz w:val="24"/>
          <w:szCs w:val="24"/>
        </w:rPr>
        <w:t>实施侧袋机制</w:t>
      </w:r>
      <w:proofErr w:type="gramEnd"/>
      <w:r>
        <w:rPr>
          <w:rFonts w:ascii="宋体" w:hAnsi="宋体" w:hint="eastAsia"/>
          <w:bCs/>
          <w:sz w:val="24"/>
          <w:szCs w:val="24"/>
        </w:rPr>
        <w:t>，</w:t>
      </w:r>
      <w:proofErr w:type="gramStart"/>
      <w:r>
        <w:rPr>
          <w:rFonts w:ascii="宋体" w:hAnsi="宋体" w:hint="eastAsia"/>
          <w:bCs/>
          <w:sz w:val="24"/>
          <w:szCs w:val="24"/>
        </w:rPr>
        <w:t>则相关</w:t>
      </w:r>
      <w:proofErr w:type="gramEnd"/>
      <w:r>
        <w:rPr>
          <w:rFonts w:ascii="宋体" w:hAnsi="宋体" w:hint="eastAsia"/>
          <w:bCs/>
          <w:sz w:val="24"/>
          <w:szCs w:val="24"/>
        </w:rPr>
        <w:t>基金份额或表决权的比例</w:t>
      </w:r>
      <w:proofErr w:type="gramStart"/>
      <w:r>
        <w:rPr>
          <w:rFonts w:ascii="宋体" w:hAnsi="宋体" w:hint="eastAsia"/>
          <w:bCs/>
          <w:sz w:val="24"/>
          <w:szCs w:val="24"/>
        </w:rPr>
        <w:t>指主袋份额</w:t>
      </w:r>
      <w:proofErr w:type="gramEnd"/>
      <w:r>
        <w:rPr>
          <w:rFonts w:ascii="宋体" w:hAnsi="宋体" w:hint="eastAsia"/>
          <w:bCs/>
          <w:sz w:val="24"/>
          <w:szCs w:val="24"/>
        </w:rPr>
        <w:t>持有</w:t>
      </w:r>
      <w:proofErr w:type="gramStart"/>
      <w:r>
        <w:rPr>
          <w:rFonts w:ascii="宋体" w:hAnsi="宋体" w:hint="eastAsia"/>
          <w:bCs/>
          <w:sz w:val="24"/>
          <w:szCs w:val="24"/>
        </w:rPr>
        <w:t>人和侧袋份额</w:t>
      </w:r>
      <w:proofErr w:type="gramEnd"/>
      <w:r>
        <w:rPr>
          <w:rFonts w:ascii="宋体" w:hAnsi="宋体" w:hint="eastAsia"/>
          <w:bCs/>
          <w:sz w:val="24"/>
          <w:szCs w:val="24"/>
        </w:rPr>
        <w:t>持有人分别持有或代表的基金份额或表决权符合该等比例，但</w:t>
      </w:r>
      <w:proofErr w:type="gramStart"/>
      <w:r>
        <w:rPr>
          <w:rFonts w:ascii="宋体" w:hAnsi="宋体" w:hint="eastAsia"/>
          <w:bCs/>
          <w:sz w:val="24"/>
          <w:szCs w:val="24"/>
        </w:rPr>
        <w:t>若相关</w:t>
      </w:r>
      <w:proofErr w:type="gramEnd"/>
      <w:r>
        <w:rPr>
          <w:rFonts w:ascii="宋体" w:hAnsi="宋体" w:hint="eastAsia"/>
          <w:bCs/>
          <w:sz w:val="24"/>
          <w:szCs w:val="24"/>
        </w:rPr>
        <w:t>基金份额持有人大会召集和审议事项不</w:t>
      </w:r>
      <w:proofErr w:type="gramStart"/>
      <w:r>
        <w:rPr>
          <w:rFonts w:ascii="宋体" w:hAnsi="宋体" w:hint="eastAsia"/>
          <w:bCs/>
          <w:sz w:val="24"/>
          <w:szCs w:val="24"/>
        </w:rPr>
        <w:t>涉及侧袋账户</w:t>
      </w:r>
      <w:proofErr w:type="gramEnd"/>
      <w:r>
        <w:rPr>
          <w:rFonts w:ascii="宋体" w:hAnsi="宋体" w:hint="eastAsia"/>
          <w:bCs/>
          <w:sz w:val="24"/>
          <w:szCs w:val="24"/>
        </w:rPr>
        <w:t>的，则仅</w:t>
      </w:r>
      <w:proofErr w:type="gramStart"/>
      <w:r>
        <w:rPr>
          <w:rFonts w:ascii="宋体" w:hAnsi="宋体" w:hint="eastAsia"/>
          <w:bCs/>
          <w:sz w:val="24"/>
          <w:szCs w:val="24"/>
        </w:rPr>
        <w:t>指主袋份额</w:t>
      </w:r>
      <w:proofErr w:type="gramEnd"/>
      <w:r>
        <w:rPr>
          <w:rFonts w:ascii="宋体" w:hAnsi="宋体" w:hint="eastAsia"/>
          <w:bCs/>
          <w:sz w:val="24"/>
          <w:szCs w:val="24"/>
        </w:rPr>
        <w:t>持有人持有或代表的基金份额或表决权符合该等比例：</w:t>
      </w:r>
    </w:p>
    <w:p w14:paraId="0B6BB2E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1、基金份额持有人行使提议权、召集权、提名权所需单独或合计代表相关基金份额10%以上（含10%）；</w:t>
      </w:r>
    </w:p>
    <w:p w14:paraId="3DBC0CC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2、现场开会的到会者在权益登记日代表的基金份额不少于本基金在权益登记</w:t>
      </w:r>
      <w:proofErr w:type="gramStart"/>
      <w:r>
        <w:rPr>
          <w:rFonts w:ascii="宋体" w:hAnsi="宋体" w:hint="eastAsia"/>
          <w:bCs/>
          <w:sz w:val="24"/>
          <w:szCs w:val="24"/>
        </w:rPr>
        <w:t>日相关</w:t>
      </w:r>
      <w:proofErr w:type="gramEnd"/>
      <w:r>
        <w:rPr>
          <w:rFonts w:ascii="宋体" w:hAnsi="宋体" w:hint="eastAsia"/>
          <w:bCs/>
          <w:sz w:val="24"/>
          <w:szCs w:val="24"/>
        </w:rPr>
        <w:t>基金份额的二分之一（含二分之一）；</w:t>
      </w:r>
    </w:p>
    <w:p w14:paraId="72442B7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3、通讯开会的直接出具表决意见或授权他人代表出具表决意见的基金份额</w:t>
      </w:r>
      <w:r>
        <w:rPr>
          <w:rFonts w:ascii="宋体" w:hAnsi="宋体" w:hint="eastAsia"/>
          <w:bCs/>
          <w:sz w:val="24"/>
          <w:szCs w:val="24"/>
        </w:rPr>
        <w:lastRenderedPageBreak/>
        <w:t>持有人所持有的基金份额不小于在权益登记</w:t>
      </w:r>
      <w:proofErr w:type="gramStart"/>
      <w:r>
        <w:rPr>
          <w:rFonts w:ascii="宋体" w:hAnsi="宋体" w:hint="eastAsia"/>
          <w:bCs/>
          <w:sz w:val="24"/>
          <w:szCs w:val="24"/>
        </w:rPr>
        <w:t>日相关</w:t>
      </w:r>
      <w:proofErr w:type="gramEnd"/>
      <w:r>
        <w:rPr>
          <w:rFonts w:ascii="宋体" w:hAnsi="宋体" w:hint="eastAsia"/>
          <w:bCs/>
          <w:sz w:val="24"/>
          <w:szCs w:val="24"/>
        </w:rPr>
        <w:t>基金份额的二分之一（含二分之一）；</w:t>
      </w:r>
    </w:p>
    <w:p w14:paraId="3C43DB3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4、当参与基金份额持有人大会投票的基金份额持有人所持有的基金份额小于在权益登记</w:t>
      </w:r>
      <w:proofErr w:type="gramStart"/>
      <w:r>
        <w:rPr>
          <w:rFonts w:ascii="宋体" w:hAnsi="宋体" w:hint="eastAsia"/>
          <w:bCs/>
          <w:sz w:val="24"/>
          <w:szCs w:val="24"/>
        </w:rPr>
        <w:t>日相关</w:t>
      </w:r>
      <w:proofErr w:type="gramEnd"/>
      <w:r>
        <w:rPr>
          <w:rFonts w:ascii="宋体" w:hAnsi="宋体" w:hint="eastAsia"/>
          <w:bCs/>
          <w:sz w:val="24"/>
          <w:szCs w:val="24"/>
        </w:rPr>
        <w:t>基金份额的二分之一，召集人在原公告的基金份额持有人大会召开时间的3个月以后、6个月以内就原定审议事项重新召集的基金份额持有人大会应当有代表三分之一以上（含三分之一）相关基金份额的持有人参与或授权他人参与基金份额持有人大会投票；</w:t>
      </w:r>
    </w:p>
    <w:p w14:paraId="123D409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5、现场开会由出席大会的基金份额持有人和代理人所持表决权的50%以上（含50%）选举产生一名基金份额持有人作为该次基金份额持有人大会的主持人；</w:t>
      </w:r>
    </w:p>
    <w:p w14:paraId="52E4C85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6、一般决议须经参加大会的基金份额持有人或其代理人所持表决权的二分之一以上（含二分之一）通过；</w:t>
      </w:r>
    </w:p>
    <w:p w14:paraId="2DE75EE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7、特别决议应当经参加大会的基金份额持有人或其代理人所持表决权的三分之二以上（含三分之二）通过。</w:t>
      </w:r>
    </w:p>
    <w:p w14:paraId="2030392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同</w:t>
      </w:r>
      <w:proofErr w:type="gramStart"/>
      <w:r>
        <w:rPr>
          <w:rFonts w:ascii="宋体" w:hAnsi="宋体" w:hint="eastAsia"/>
          <w:bCs/>
          <w:sz w:val="24"/>
          <w:szCs w:val="24"/>
        </w:rPr>
        <w:t>一主侧袋账户</w:t>
      </w:r>
      <w:proofErr w:type="gramEnd"/>
      <w:r>
        <w:rPr>
          <w:rFonts w:ascii="宋体" w:hAnsi="宋体" w:hint="eastAsia"/>
          <w:bCs/>
          <w:sz w:val="24"/>
          <w:szCs w:val="24"/>
        </w:rPr>
        <w:t>内的每份基金份额具有平等的表决权。</w:t>
      </w:r>
    </w:p>
    <w:p w14:paraId="750C7AD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（十）本部</w:t>
      </w:r>
      <w:proofErr w:type="gramStart"/>
      <w:r>
        <w:rPr>
          <w:rFonts w:ascii="宋体" w:hAnsi="宋体" w:hint="eastAsia"/>
          <w:bCs/>
          <w:sz w:val="24"/>
          <w:szCs w:val="24"/>
        </w:rPr>
        <w:t>分关于</w:t>
      </w:r>
      <w:proofErr w:type="gramEnd"/>
      <w:r>
        <w:rPr>
          <w:rFonts w:ascii="宋体" w:hAnsi="宋体" w:hint="eastAsia"/>
          <w:bCs/>
          <w:sz w:val="24"/>
          <w:szCs w:val="24"/>
        </w:rPr>
        <w:t>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7AD1210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三、基金收益分配原则、执行方式</w:t>
      </w:r>
    </w:p>
    <w:p w14:paraId="43ED2039"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bCs/>
          <w:sz w:val="24"/>
          <w:szCs w:val="24"/>
        </w:rPr>
        <w:t>（一</w:t>
      </w:r>
      <w:r>
        <w:rPr>
          <w:rFonts w:ascii="宋体" w:hAnsi="宋体" w:hint="eastAsia"/>
          <w:bCs/>
          <w:sz w:val="24"/>
          <w:szCs w:val="24"/>
        </w:rPr>
        <w:t>）</w:t>
      </w:r>
      <w:r>
        <w:rPr>
          <w:rFonts w:ascii="宋体" w:hAnsi="宋体"/>
          <w:bCs/>
          <w:sz w:val="24"/>
          <w:szCs w:val="24"/>
        </w:rPr>
        <w:t>基金利润的构成</w:t>
      </w:r>
    </w:p>
    <w:p w14:paraId="7AFA0F55"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bCs/>
          <w:sz w:val="24"/>
          <w:szCs w:val="24"/>
        </w:rPr>
        <w:t>基金利润指基金利息收入、投资收益、公允价值变动收益和其他收入扣除相关费用后的余额，基金已实现收益指基金利润减去公允价值变动收益后的余额。</w:t>
      </w:r>
    </w:p>
    <w:p w14:paraId="662B2DE8"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bCs/>
          <w:sz w:val="24"/>
          <w:szCs w:val="24"/>
        </w:rPr>
        <w:t>（二）基金可供分配利润</w:t>
      </w:r>
    </w:p>
    <w:p w14:paraId="218D0B34"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bCs/>
          <w:sz w:val="24"/>
          <w:szCs w:val="24"/>
        </w:rPr>
        <w:t>基金可供分配利润指截至收益分配基准日基金未分配利润与未分配利润中已实现收益的孰低数。</w:t>
      </w:r>
    </w:p>
    <w:p w14:paraId="3AF38F46"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bCs/>
          <w:sz w:val="24"/>
          <w:szCs w:val="24"/>
        </w:rPr>
        <w:t>（三）基金收益分配原则</w:t>
      </w:r>
    </w:p>
    <w:p w14:paraId="2CCC51EA"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1、在符合有关基金分红条件的前提下，本基金管理人可以根据实际情况进行收益分配，具体分配方案以公告为准。若《基金合同》生效不满3个月可不进行收益分配；</w:t>
      </w:r>
    </w:p>
    <w:p w14:paraId="356F3D8C"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2、本基金收益分配方式分两种：现金分红与红利再投资，投资人可选择现</w:t>
      </w:r>
      <w:r>
        <w:rPr>
          <w:rFonts w:ascii="宋体" w:hAnsi="宋体" w:hint="eastAsia"/>
          <w:bCs/>
          <w:sz w:val="24"/>
          <w:szCs w:val="24"/>
        </w:rPr>
        <w:lastRenderedPageBreak/>
        <w:t>金红利或将现金红利自动转为相应类别的基金份额进行再投资；若投资人不选择，本基金默认的收益分配方式是现金分红；红利再投资方式免收再投资的费用；</w:t>
      </w:r>
    </w:p>
    <w:p w14:paraId="0798FEE7" w14:textId="18D4063E" w:rsidR="00166BB1" w:rsidRDefault="00166BB1">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3、</w:t>
      </w:r>
      <w:r w:rsidRPr="00A33E4A">
        <w:rPr>
          <w:rFonts w:ascii="宋体" w:hAnsi="宋体" w:hint="eastAsia"/>
          <w:bCs/>
          <w:sz w:val="24"/>
          <w:szCs w:val="24"/>
        </w:rPr>
        <w:t>由于本基金A类基金份额与C类基金份额的基金费用不同</w:t>
      </w:r>
      <w:r>
        <w:rPr>
          <w:rFonts w:ascii="宋体" w:hAnsi="宋体" w:hint="eastAsia"/>
          <w:bCs/>
          <w:sz w:val="24"/>
          <w:szCs w:val="24"/>
        </w:rPr>
        <w:t>，各基金份额类别对应的可供分配利润将有所不同。本基金同一类别的每一基金份额享有同等分配权；</w:t>
      </w:r>
    </w:p>
    <w:p w14:paraId="13778BA2"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4、法律法规或监管机关另有规定的，从其规定。</w:t>
      </w:r>
    </w:p>
    <w:p w14:paraId="6C3483AA"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在不违反法律法规且对基金份额持有人利益无实质性不利影响的前提下，基金管理人在与基金托管人协商一致并履行适当程序后，可酌情调整以上基金收益分配原则和支付方式，并于变更实施日前按照《信息披露办法》的规定在规定媒介上公告。</w:t>
      </w:r>
    </w:p>
    <w:p w14:paraId="35AC0B57"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bCs/>
          <w:sz w:val="24"/>
          <w:szCs w:val="24"/>
        </w:rPr>
        <w:t>（四）收益分配方案</w:t>
      </w:r>
    </w:p>
    <w:p w14:paraId="243BE8BE"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bCs/>
          <w:sz w:val="24"/>
          <w:szCs w:val="24"/>
        </w:rPr>
        <w:t>基金</w:t>
      </w:r>
      <w:r>
        <w:rPr>
          <w:rFonts w:ascii="宋体" w:hAnsi="宋体" w:hint="eastAsia"/>
          <w:bCs/>
          <w:sz w:val="24"/>
          <w:szCs w:val="24"/>
        </w:rPr>
        <w:t>的</w:t>
      </w:r>
      <w:r>
        <w:rPr>
          <w:rFonts w:ascii="宋体" w:hAnsi="宋体"/>
          <w:bCs/>
          <w:sz w:val="24"/>
          <w:szCs w:val="24"/>
        </w:rPr>
        <w:t>收益分配方案中应载明</w:t>
      </w:r>
      <w:r>
        <w:rPr>
          <w:rFonts w:ascii="宋体" w:hAnsi="宋体" w:hint="eastAsia"/>
          <w:bCs/>
          <w:sz w:val="24"/>
          <w:szCs w:val="24"/>
        </w:rPr>
        <w:t>截止收益分配基准日的可供分配利润、</w:t>
      </w:r>
      <w:r>
        <w:rPr>
          <w:rFonts w:ascii="宋体" w:hAnsi="宋体"/>
          <w:bCs/>
          <w:sz w:val="24"/>
          <w:szCs w:val="24"/>
        </w:rPr>
        <w:t>基金收益分配对象、分配时间、分配数额及比例、分配方式等内容。</w:t>
      </w:r>
    </w:p>
    <w:p w14:paraId="295C7639"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bCs/>
          <w:sz w:val="24"/>
          <w:szCs w:val="24"/>
        </w:rPr>
        <w:t>（五）收益分配方案的确定、公告与实施</w:t>
      </w:r>
    </w:p>
    <w:p w14:paraId="5B304132"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本基金收益分配方案由基金管理人拟定，并由基金托管人复核，基金管理人依照《信息披露办法》的有关规定在规定媒介公告。</w:t>
      </w:r>
    </w:p>
    <w:p w14:paraId="654208DB"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bCs/>
          <w:sz w:val="24"/>
          <w:szCs w:val="24"/>
        </w:rPr>
        <w:t>（六）基金收益分配中发生的费用</w:t>
      </w:r>
    </w:p>
    <w:p w14:paraId="315AB6C4" w14:textId="77777777" w:rsidR="00166BB1" w:rsidRDefault="00166BB1">
      <w:pPr>
        <w:adjustRightInd w:val="0"/>
        <w:snapToGrid w:val="0"/>
        <w:spacing w:line="360" w:lineRule="auto"/>
        <w:ind w:firstLineChars="225" w:firstLine="540"/>
        <w:rPr>
          <w:rFonts w:ascii="宋体" w:hAnsi="宋体"/>
          <w:bCs/>
          <w:sz w:val="24"/>
          <w:szCs w:val="24"/>
        </w:rPr>
      </w:pPr>
      <w:r>
        <w:rPr>
          <w:rFonts w:ascii="黑体" w:hAnsi="黑体" w:hint="eastAsia"/>
          <w:bCs/>
          <w:sz w:val="24"/>
          <w:szCs w:val="24"/>
        </w:rPr>
        <w:t>基金收益分配时所发生的银行转账或其他手续费用由投资人自行承担。当投资人的现金红利小于一定金额，不足以支付银行转账或其他手续费用时，基金登记机构可将该基金份额持有人的现金红利转为相应</w:t>
      </w:r>
      <w:r>
        <w:rPr>
          <w:rFonts w:ascii="黑体" w:hAnsi="黑体"/>
          <w:bCs/>
          <w:sz w:val="24"/>
          <w:szCs w:val="24"/>
        </w:rPr>
        <w:t>类别的</w:t>
      </w:r>
      <w:r>
        <w:rPr>
          <w:rFonts w:ascii="黑体" w:hAnsi="黑体" w:hint="eastAsia"/>
          <w:bCs/>
          <w:sz w:val="24"/>
          <w:szCs w:val="24"/>
        </w:rPr>
        <w:t>基金份额。红利再投资的计算方法，依照登记机构相关业务规则执行。</w:t>
      </w:r>
    </w:p>
    <w:p w14:paraId="002244B0" w14:textId="77777777" w:rsidR="00166BB1" w:rsidRDefault="00166BB1">
      <w:pPr>
        <w:adjustRightInd w:val="0"/>
        <w:snapToGrid w:val="0"/>
        <w:spacing w:line="360" w:lineRule="auto"/>
        <w:ind w:firstLineChars="225" w:firstLine="540"/>
        <w:rPr>
          <w:rFonts w:ascii="宋体" w:hAnsi="宋体"/>
          <w:bCs/>
          <w:sz w:val="24"/>
          <w:szCs w:val="24"/>
        </w:rPr>
      </w:pPr>
      <w:r>
        <w:rPr>
          <w:rFonts w:ascii="宋体" w:hAnsi="宋体" w:hint="eastAsia"/>
          <w:bCs/>
          <w:sz w:val="24"/>
          <w:szCs w:val="24"/>
        </w:rPr>
        <w:t>（七）实施</w:t>
      </w:r>
      <w:proofErr w:type="gramStart"/>
      <w:r>
        <w:rPr>
          <w:rFonts w:ascii="宋体" w:hAnsi="宋体" w:hint="eastAsia"/>
          <w:bCs/>
          <w:sz w:val="24"/>
          <w:szCs w:val="24"/>
        </w:rPr>
        <w:t>侧袋机制</w:t>
      </w:r>
      <w:proofErr w:type="gramEnd"/>
      <w:r>
        <w:rPr>
          <w:rFonts w:ascii="宋体" w:hAnsi="宋体" w:hint="eastAsia"/>
          <w:bCs/>
          <w:sz w:val="24"/>
          <w:szCs w:val="24"/>
        </w:rPr>
        <w:t>期间的收益分配</w:t>
      </w:r>
    </w:p>
    <w:p w14:paraId="3DB1D25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w:t>
      </w:r>
      <w:proofErr w:type="gramStart"/>
      <w:r>
        <w:rPr>
          <w:rFonts w:ascii="宋体" w:hAnsi="宋体" w:hint="eastAsia"/>
          <w:bCs/>
          <w:sz w:val="24"/>
          <w:szCs w:val="24"/>
        </w:rPr>
        <w:t>侧袋账户</w:t>
      </w:r>
      <w:proofErr w:type="gramEnd"/>
      <w:r>
        <w:rPr>
          <w:rFonts w:ascii="宋体" w:hAnsi="宋体" w:hint="eastAsia"/>
          <w:bCs/>
          <w:sz w:val="24"/>
          <w:szCs w:val="24"/>
        </w:rPr>
        <w:t>不进行收益分配，详见招募说明书的规定或相关公告。</w:t>
      </w:r>
    </w:p>
    <w:p w14:paraId="69DFAC4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四、与基金财产管理、运用有关费用的提取、支付方式与比例</w:t>
      </w:r>
    </w:p>
    <w:p w14:paraId="44E1D38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w:t>
      </w:r>
      <w:r>
        <w:rPr>
          <w:rFonts w:ascii="宋体" w:hAnsi="宋体"/>
          <w:bCs/>
          <w:sz w:val="24"/>
          <w:szCs w:val="24"/>
        </w:rPr>
        <w:t>一）基金费用的种类</w:t>
      </w:r>
    </w:p>
    <w:p w14:paraId="267C957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1、基金管理人的管理费；</w:t>
      </w:r>
    </w:p>
    <w:p w14:paraId="147E011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2、基金托管人的托管费；</w:t>
      </w:r>
    </w:p>
    <w:p w14:paraId="40FDB96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3、从C类基金份额的基金财产中计提的</w:t>
      </w:r>
      <w:r>
        <w:rPr>
          <w:rFonts w:ascii="宋体" w:hAnsi="宋体"/>
          <w:bCs/>
          <w:sz w:val="24"/>
          <w:szCs w:val="24"/>
        </w:rPr>
        <w:t>销售服务费；</w:t>
      </w:r>
    </w:p>
    <w:p w14:paraId="60BEBEFE"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4</w:t>
      </w:r>
      <w:r>
        <w:rPr>
          <w:rFonts w:ascii="宋体" w:hAnsi="宋体" w:hint="eastAsia"/>
          <w:bCs/>
          <w:sz w:val="24"/>
          <w:szCs w:val="24"/>
        </w:rPr>
        <w:t>、</w:t>
      </w:r>
      <w:r>
        <w:rPr>
          <w:rFonts w:ascii="宋体" w:hAnsi="宋体"/>
          <w:bCs/>
          <w:sz w:val="24"/>
          <w:szCs w:val="24"/>
        </w:rPr>
        <w:t>基金合同生效后与基金相关的信息披露费用；</w:t>
      </w:r>
    </w:p>
    <w:p w14:paraId="10B20BE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lastRenderedPageBreak/>
        <w:t>5、基金合同生效后与基金相关的</w:t>
      </w:r>
      <w:r>
        <w:rPr>
          <w:rFonts w:ascii="宋体" w:hAnsi="宋体" w:hint="eastAsia"/>
          <w:bCs/>
          <w:sz w:val="24"/>
          <w:szCs w:val="24"/>
        </w:rPr>
        <w:t>会计师费、审计费、律师费、诉讼费和仲裁费等费用；</w:t>
      </w:r>
    </w:p>
    <w:p w14:paraId="197FCA3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6、基金份额持有人大会费用；</w:t>
      </w:r>
    </w:p>
    <w:p w14:paraId="567DF21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7</w:t>
      </w:r>
      <w:r>
        <w:rPr>
          <w:rFonts w:ascii="宋体" w:hAnsi="宋体" w:hint="eastAsia"/>
          <w:bCs/>
          <w:sz w:val="24"/>
          <w:szCs w:val="24"/>
        </w:rPr>
        <w:t>、</w:t>
      </w:r>
      <w:r>
        <w:rPr>
          <w:rFonts w:ascii="宋体" w:hAnsi="宋体"/>
          <w:bCs/>
          <w:sz w:val="24"/>
          <w:szCs w:val="24"/>
        </w:rPr>
        <w:t>基金的证券</w:t>
      </w:r>
      <w:r>
        <w:rPr>
          <w:rFonts w:ascii="宋体" w:hAnsi="宋体" w:hint="eastAsia"/>
          <w:bCs/>
          <w:sz w:val="24"/>
          <w:szCs w:val="24"/>
        </w:rPr>
        <w:t>、</w:t>
      </w:r>
      <w:r>
        <w:rPr>
          <w:rFonts w:ascii="宋体" w:hAnsi="宋体"/>
          <w:bCs/>
          <w:sz w:val="24"/>
          <w:szCs w:val="24"/>
        </w:rPr>
        <w:t>期货</w:t>
      </w:r>
      <w:r>
        <w:rPr>
          <w:rFonts w:ascii="宋体" w:hAnsi="宋体" w:hint="eastAsia"/>
          <w:bCs/>
          <w:sz w:val="24"/>
          <w:szCs w:val="24"/>
        </w:rPr>
        <w:t>、</w:t>
      </w:r>
      <w:r>
        <w:rPr>
          <w:rFonts w:ascii="宋体" w:hAnsi="宋体"/>
          <w:bCs/>
          <w:sz w:val="24"/>
          <w:szCs w:val="24"/>
        </w:rPr>
        <w:t>股票期权</w:t>
      </w:r>
      <w:r>
        <w:rPr>
          <w:rFonts w:ascii="宋体" w:hAnsi="宋体" w:hint="eastAsia"/>
          <w:bCs/>
          <w:sz w:val="24"/>
          <w:szCs w:val="24"/>
        </w:rPr>
        <w:t>等投资标的</w:t>
      </w:r>
      <w:r>
        <w:rPr>
          <w:rFonts w:ascii="宋体" w:hAnsi="宋体"/>
          <w:bCs/>
          <w:sz w:val="24"/>
          <w:szCs w:val="24"/>
        </w:rPr>
        <w:t>交易</w:t>
      </w:r>
      <w:r>
        <w:rPr>
          <w:rFonts w:ascii="宋体" w:hAnsi="宋体" w:hint="eastAsia"/>
          <w:bCs/>
          <w:sz w:val="24"/>
          <w:szCs w:val="24"/>
        </w:rPr>
        <w:t>结算</w:t>
      </w:r>
      <w:r>
        <w:rPr>
          <w:rFonts w:ascii="宋体" w:hAnsi="宋体"/>
          <w:bCs/>
          <w:sz w:val="24"/>
          <w:szCs w:val="24"/>
        </w:rPr>
        <w:t>费用；</w:t>
      </w:r>
    </w:p>
    <w:p w14:paraId="38BCCF6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8、基金的银行汇划费用；</w:t>
      </w:r>
    </w:p>
    <w:p w14:paraId="3E6D1F4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9</w:t>
      </w:r>
      <w:r>
        <w:rPr>
          <w:rFonts w:ascii="宋体" w:hAnsi="宋体" w:hint="eastAsia"/>
          <w:bCs/>
          <w:sz w:val="24"/>
          <w:szCs w:val="24"/>
        </w:rPr>
        <w:t>、基金相关账户开户和维护费用；</w:t>
      </w:r>
    </w:p>
    <w:p w14:paraId="7B558223" w14:textId="77777777" w:rsidR="00166BB1" w:rsidRDefault="00166BB1">
      <w:pPr>
        <w:adjustRightInd w:val="0"/>
        <w:snapToGrid w:val="0"/>
        <w:spacing w:line="360" w:lineRule="auto"/>
        <w:ind w:firstLineChars="200" w:firstLine="480"/>
        <w:rPr>
          <w:rStyle w:val="af8"/>
          <w:lang w:val="zh-CN"/>
        </w:rPr>
      </w:pPr>
      <w:r>
        <w:rPr>
          <w:rFonts w:ascii="宋体" w:hAnsi="宋体" w:hint="eastAsia"/>
          <w:bCs/>
          <w:sz w:val="24"/>
          <w:szCs w:val="24"/>
        </w:rPr>
        <w:t>10</w:t>
      </w:r>
      <w:r>
        <w:rPr>
          <w:rFonts w:ascii="宋体" w:hAnsi="宋体"/>
          <w:bCs/>
          <w:sz w:val="24"/>
          <w:szCs w:val="24"/>
        </w:rPr>
        <w:t>、</w:t>
      </w:r>
      <w:r>
        <w:rPr>
          <w:rFonts w:ascii="宋体" w:hAnsi="宋体" w:hint="eastAsia"/>
          <w:bCs/>
          <w:sz w:val="24"/>
          <w:szCs w:val="24"/>
        </w:rPr>
        <w:t>基金投资目标ETF的相关费用（包括但不限于对目标ETF的交易费用、</w:t>
      </w:r>
      <w:proofErr w:type="gramStart"/>
      <w:r>
        <w:rPr>
          <w:rFonts w:ascii="宋体" w:hAnsi="宋体" w:hint="eastAsia"/>
          <w:bCs/>
          <w:sz w:val="24"/>
          <w:szCs w:val="24"/>
        </w:rPr>
        <w:t>申赎费用</w:t>
      </w:r>
      <w:proofErr w:type="gramEnd"/>
      <w:r>
        <w:rPr>
          <w:rFonts w:ascii="宋体" w:hAnsi="宋体" w:hint="eastAsia"/>
          <w:bCs/>
          <w:sz w:val="24"/>
          <w:szCs w:val="24"/>
        </w:rPr>
        <w:t>等）；</w:t>
      </w:r>
    </w:p>
    <w:p w14:paraId="1A6E846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11、</w:t>
      </w:r>
      <w:r>
        <w:rPr>
          <w:rFonts w:ascii="宋体" w:hAnsi="宋体"/>
          <w:bCs/>
          <w:sz w:val="24"/>
          <w:szCs w:val="24"/>
        </w:rPr>
        <w:t>按照国家有关规定和《基金合同》约定，可以在基金财产中列支的其他费用。</w:t>
      </w:r>
    </w:p>
    <w:p w14:paraId="1CD96D4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本基金终止清算时所发生合理费用，按实际支出额从基金财产中扣除。</w:t>
      </w:r>
    </w:p>
    <w:p w14:paraId="5C4145A8" w14:textId="77777777" w:rsidR="00166BB1" w:rsidRDefault="00166BB1">
      <w:pPr>
        <w:spacing w:line="360" w:lineRule="auto"/>
        <w:ind w:firstLineChars="200" w:firstLine="480"/>
        <w:rPr>
          <w:rFonts w:ascii="宋体" w:hAnsi="宋体"/>
          <w:bCs/>
          <w:sz w:val="24"/>
          <w:szCs w:val="24"/>
        </w:rPr>
      </w:pPr>
      <w:r>
        <w:rPr>
          <w:rFonts w:ascii="宋体" w:hAnsi="宋体"/>
          <w:bCs/>
          <w:sz w:val="24"/>
          <w:szCs w:val="24"/>
        </w:rPr>
        <w:t>（二）基金费用计提方法、计提标准和支付方式</w:t>
      </w:r>
    </w:p>
    <w:p w14:paraId="4F1A1F36" w14:textId="77777777"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1、基金管理人的管理费</w:t>
      </w:r>
    </w:p>
    <w:p w14:paraId="382C4B03" w14:textId="5D38D587" w:rsidR="00166BB1" w:rsidRDefault="00166BB1">
      <w:pPr>
        <w:snapToGrid w:val="0"/>
        <w:spacing w:line="360" w:lineRule="auto"/>
        <w:ind w:firstLine="480"/>
        <w:rPr>
          <w:rFonts w:ascii="宋体" w:hAnsi="宋体"/>
          <w:bCs/>
          <w:sz w:val="24"/>
          <w:szCs w:val="24"/>
        </w:rPr>
      </w:pPr>
      <w:r>
        <w:rPr>
          <w:rFonts w:ascii="宋体" w:hAnsi="宋体" w:hint="eastAsia"/>
          <w:bCs/>
          <w:sz w:val="24"/>
          <w:szCs w:val="24"/>
        </w:rPr>
        <w:t>本</w:t>
      </w:r>
      <w:proofErr w:type="gramStart"/>
      <w:r>
        <w:rPr>
          <w:rFonts w:ascii="宋体" w:hAnsi="宋体" w:hint="eastAsia"/>
          <w:bCs/>
          <w:sz w:val="24"/>
          <w:szCs w:val="24"/>
        </w:rPr>
        <w:t>基金基金</w:t>
      </w:r>
      <w:proofErr w:type="gramEnd"/>
      <w:r>
        <w:rPr>
          <w:rFonts w:ascii="宋体" w:hAnsi="宋体" w:hint="eastAsia"/>
          <w:bCs/>
          <w:sz w:val="24"/>
          <w:szCs w:val="24"/>
        </w:rPr>
        <w:t>财产中投资于目标ETF的部分不收取管理费。本基金管理费按前一日基金资产净值扣除所持有目标ETF基金份额部分的基金资产净值后的余额（若为负数，则取0）</w:t>
      </w:r>
      <w:r>
        <w:rPr>
          <w:rFonts w:ascii="宋体" w:hAnsi="宋体"/>
          <w:bCs/>
          <w:sz w:val="24"/>
          <w:szCs w:val="24"/>
        </w:rPr>
        <w:t>的0.15</w:t>
      </w:r>
      <w:r>
        <w:rPr>
          <w:rFonts w:ascii="宋体" w:hAnsi="宋体" w:hint="eastAsia"/>
          <w:bCs/>
          <w:sz w:val="24"/>
          <w:szCs w:val="24"/>
        </w:rPr>
        <w:t>%</w:t>
      </w:r>
      <w:r>
        <w:rPr>
          <w:rFonts w:ascii="宋体" w:hAnsi="宋体"/>
          <w:bCs/>
          <w:sz w:val="24"/>
          <w:szCs w:val="24"/>
        </w:rPr>
        <w:t>年费率计提。管理费的计算方法如下：</w:t>
      </w:r>
    </w:p>
    <w:p w14:paraId="16467740" w14:textId="5B78598E"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H＝E×</w:t>
      </w:r>
      <w:r>
        <w:rPr>
          <w:rFonts w:ascii="宋体" w:hAnsi="宋体"/>
          <w:bCs/>
          <w:sz w:val="24"/>
          <w:szCs w:val="24"/>
        </w:rPr>
        <w:t>0.15</w:t>
      </w:r>
      <w:r>
        <w:rPr>
          <w:rFonts w:ascii="宋体" w:hAnsi="宋体" w:hint="eastAsia"/>
          <w:bCs/>
          <w:sz w:val="24"/>
          <w:szCs w:val="24"/>
        </w:rPr>
        <w:t>%÷当年天数</w:t>
      </w:r>
    </w:p>
    <w:p w14:paraId="28599ED4" w14:textId="77777777"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H为每日应计提的基金管理费</w:t>
      </w:r>
    </w:p>
    <w:p w14:paraId="112EF6EC" w14:textId="77777777"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E为</w:t>
      </w:r>
      <w:r>
        <w:rPr>
          <w:rFonts w:ascii="宋体" w:hAnsi="宋体"/>
          <w:bCs/>
          <w:sz w:val="24"/>
          <w:szCs w:val="24"/>
        </w:rPr>
        <w:t>前一日</w:t>
      </w:r>
      <w:r>
        <w:rPr>
          <w:rFonts w:ascii="宋体" w:hAnsi="宋体" w:hint="eastAsia"/>
          <w:bCs/>
          <w:sz w:val="24"/>
          <w:szCs w:val="24"/>
        </w:rPr>
        <w:t>基金资产净值-前一日所持有目标ETF基金份额部分的基金资产净值，若为负数，则E取0。</w:t>
      </w:r>
    </w:p>
    <w:p w14:paraId="51C36F49" w14:textId="77777777" w:rsidR="00166BB1" w:rsidRDefault="00166BB1">
      <w:pPr>
        <w:spacing w:line="360" w:lineRule="auto"/>
        <w:ind w:firstLineChars="200" w:firstLine="480"/>
        <w:rPr>
          <w:rFonts w:ascii="仿宋_GB2312" w:hAnsi="仿宋_GB2312"/>
          <w:bCs/>
          <w:sz w:val="24"/>
          <w:szCs w:val="24"/>
        </w:rPr>
      </w:pPr>
      <w:r>
        <w:rPr>
          <w:rFonts w:ascii="仿宋_GB2312" w:hAnsi="仿宋_GB2312" w:hint="eastAsia"/>
          <w:bCs/>
          <w:sz w:val="24"/>
          <w:szCs w:val="24"/>
        </w:rPr>
        <w:t>基金管理费每日计提，逐日累计至每月月末，按月支付。由基金托管人根据与基金管理人核对一致的财务数据，自动在月初</w:t>
      </w:r>
      <w:r>
        <w:rPr>
          <w:rFonts w:ascii="仿宋_GB2312" w:hAnsi="仿宋_GB2312" w:hint="eastAsia"/>
          <w:bCs/>
          <w:sz w:val="24"/>
          <w:szCs w:val="24"/>
        </w:rPr>
        <w:t>5</w:t>
      </w:r>
      <w:proofErr w:type="gramStart"/>
      <w:r>
        <w:rPr>
          <w:rFonts w:ascii="仿宋_GB2312" w:hAnsi="仿宋_GB2312" w:hint="eastAsia"/>
          <w:bCs/>
          <w:sz w:val="24"/>
          <w:szCs w:val="24"/>
        </w:rPr>
        <w:t>个</w:t>
      </w:r>
      <w:proofErr w:type="gramEnd"/>
      <w:r>
        <w:rPr>
          <w:rFonts w:ascii="仿宋_GB2312" w:hAnsi="仿宋_GB2312" w:hint="eastAsia"/>
          <w:bCs/>
          <w:sz w:val="24"/>
          <w:szCs w:val="24"/>
        </w:rPr>
        <w:t>工作日内、按照指定的账户路径进行资金支付，基金管理人无需再出具资金划拨指令。若遇法定节假日、休息日或不可抗力等致使无法按时支付的，顺延至最近可支付日支付。费用自动扣划后，基金管理人应进行核对，如发现数据不符，及时联系托管人协商解决。</w:t>
      </w:r>
    </w:p>
    <w:p w14:paraId="51911C29" w14:textId="77777777"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2、基金托管人的托管费</w:t>
      </w:r>
    </w:p>
    <w:p w14:paraId="46F2262A" w14:textId="74355D5E" w:rsidR="00166BB1" w:rsidRDefault="00166BB1">
      <w:pPr>
        <w:snapToGrid w:val="0"/>
        <w:spacing w:line="360" w:lineRule="auto"/>
        <w:ind w:firstLine="480"/>
        <w:rPr>
          <w:rFonts w:ascii="宋体" w:hAnsi="宋体"/>
          <w:bCs/>
          <w:sz w:val="24"/>
          <w:szCs w:val="24"/>
        </w:rPr>
      </w:pPr>
      <w:r>
        <w:rPr>
          <w:rFonts w:ascii="宋体" w:hAnsi="宋体" w:hint="eastAsia"/>
          <w:bCs/>
          <w:sz w:val="24"/>
          <w:szCs w:val="24"/>
        </w:rPr>
        <w:t>本</w:t>
      </w:r>
      <w:proofErr w:type="gramStart"/>
      <w:r>
        <w:rPr>
          <w:rFonts w:ascii="宋体" w:hAnsi="宋体" w:hint="eastAsia"/>
          <w:bCs/>
          <w:sz w:val="24"/>
          <w:szCs w:val="24"/>
        </w:rPr>
        <w:t>基金基金</w:t>
      </w:r>
      <w:proofErr w:type="gramEnd"/>
      <w:r>
        <w:rPr>
          <w:rFonts w:ascii="宋体" w:hAnsi="宋体" w:hint="eastAsia"/>
          <w:bCs/>
          <w:sz w:val="24"/>
          <w:szCs w:val="24"/>
        </w:rPr>
        <w:t>财产中投资于目标ETF的部分不收取托管费。本基金托管费按前一日基金资产净值扣除所持有目标ETF基金份额部分的基金资产净值后的余额（若为负数，则取0）</w:t>
      </w:r>
      <w:r>
        <w:rPr>
          <w:rFonts w:ascii="宋体" w:hAnsi="宋体"/>
          <w:bCs/>
          <w:sz w:val="24"/>
          <w:szCs w:val="24"/>
        </w:rPr>
        <w:t>的0.05</w:t>
      </w:r>
      <w:r>
        <w:rPr>
          <w:rFonts w:ascii="宋体" w:hAnsi="宋体" w:hint="eastAsia"/>
          <w:sz w:val="24"/>
          <w:szCs w:val="24"/>
        </w:rPr>
        <w:t>%</w:t>
      </w:r>
      <w:r>
        <w:rPr>
          <w:rFonts w:ascii="宋体" w:hAnsi="宋体"/>
          <w:bCs/>
          <w:sz w:val="24"/>
          <w:szCs w:val="24"/>
        </w:rPr>
        <w:t>年费率计提。托管费的计算方法如下：</w:t>
      </w:r>
    </w:p>
    <w:p w14:paraId="52AEE7DB" w14:textId="2776AA62"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H＝E×</w:t>
      </w:r>
      <w:r>
        <w:rPr>
          <w:rFonts w:ascii="宋体" w:hAnsi="宋体"/>
          <w:bCs/>
          <w:sz w:val="24"/>
          <w:szCs w:val="24"/>
        </w:rPr>
        <w:t>0.05</w:t>
      </w:r>
      <w:r>
        <w:rPr>
          <w:rFonts w:ascii="宋体" w:hAnsi="宋体" w:hint="eastAsia"/>
          <w:bCs/>
          <w:sz w:val="24"/>
          <w:szCs w:val="24"/>
        </w:rPr>
        <w:t>%÷当年天数</w:t>
      </w:r>
    </w:p>
    <w:p w14:paraId="1B01AB28" w14:textId="77777777"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lastRenderedPageBreak/>
        <w:t>H为每日应计提的基金托管费</w:t>
      </w:r>
    </w:p>
    <w:p w14:paraId="2A0FD4E8" w14:textId="77777777"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E为</w:t>
      </w:r>
      <w:r>
        <w:rPr>
          <w:rFonts w:ascii="宋体" w:hAnsi="宋体"/>
          <w:bCs/>
          <w:sz w:val="24"/>
          <w:szCs w:val="24"/>
        </w:rPr>
        <w:t>前一日的</w:t>
      </w:r>
      <w:r>
        <w:rPr>
          <w:rFonts w:ascii="宋体" w:hAnsi="宋体" w:hint="eastAsia"/>
          <w:bCs/>
          <w:sz w:val="24"/>
          <w:szCs w:val="24"/>
        </w:rPr>
        <w:t>基金资产净值-前一日所持有目标ETF基金份额部分的基金资产净值，若为负数，则E取0。</w:t>
      </w:r>
    </w:p>
    <w:p w14:paraId="3C6784AD" w14:textId="77777777" w:rsidR="00166BB1" w:rsidRDefault="00166BB1">
      <w:pPr>
        <w:spacing w:line="360" w:lineRule="auto"/>
        <w:ind w:firstLineChars="200" w:firstLine="480"/>
        <w:rPr>
          <w:rFonts w:ascii="仿宋_GB2312" w:hAnsi="仿宋_GB2312"/>
          <w:bCs/>
          <w:sz w:val="24"/>
          <w:szCs w:val="24"/>
        </w:rPr>
      </w:pPr>
      <w:r>
        <w:rPr>
          <w:rFonts w:ascii="仿宋_GB2312" w:hAnsi="仿宋_GB2312" w:hint="eastAsia"/>
          <w:bCs/>
          <w:sz w:val="24"/>
          <w:szCs w:val="24"/>
        </w:rPr>
        <w:t>基金托管费每日计提，逐日累计至每月月末，按月支付。由基金托管人根据与基金管理人核对一致的财务数据，自动在月初</w:t>
      </w:r>
      <w:r>
        <w:rPr>
          <w:rFonts w:ascii="仿宋_GB2312" w:hAnsi="仿宋_GB2312" w:hint="eastAsia"/>
          <w:bCs/>
          <w:sz w:val="24"/>
          <w:szCs w:val="24"/>
        </w:rPr>
        <w:t>5</w:t>
      </w:r>
      <w:proofErr w:type="gramStart"/>
      <w:r>
        <w:rPr>
          <w:rFonts w:ascii="仿宋_GB2312" w:hAnsi="仿宋_GB2312" w:hint="eastAsia"/>
          <w:bCs/>
          <w:sz w:val="24"/>
          <w:szCs w:val="24"/>
        </w:rPr>
        <w:t>个</w:t>
      </w:r>
      <w:proofErr w:type="gramEnd"/>
      <w:r>
        <w:rPr>
          <w:rFonts w:ascii="仿宋_GB2312" w:hAnsi="仿宋_GB2312" w:hint="eastAsia"/>
          <w:bCs/>
          <w:sz w:val="24"/>
          <w:szCs w:val="24"/>
        </w:rPr>
        <w:t>工作日内、按照指定的账户路径进行资金支付，基金管理人无需再出具资金划拨指令。若遇法定节假日、休息日或不可抗力等致使无法按时支付的，顺延至最近可支付日支付。费用自动扣划后，基金管理人应进行核对，如发现数据不符，及时联系托管人协商解决。</w:t>
      </w:r>
    </w:p>
    <w:p w14:paraId="6A59A3C2" w14:textId="77777777"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3、销售服务费</w:t>
      </w:r>
    </w:p>
    <w:p w14:paraId="0BEC2B30" w14:textId="005C084D"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本基金A类基金份额不收取销售服务费，C类基金份额的销售服务费按前一日C类基金份额的基金资产净值的0.20%年费率计提。计算方法如下：</w:t>
      </w:r>
    </w:p>
    <w:p w14:paraId="7E417E84" w14:textId="1B9A1196"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H＝E×0.20</w:t>
      </w:r>
      <w:r>
        <w:rPr>
          <w:rFonts w:ascii="宋体" w:hAnsi="宋体"/>
          <w:bCs/>
          <w:sz w:val="24"/>
          <w:szCs w:val="24"/>
        </w:rPr>
        <w:t>%</w:t>
      </w:r>
      <w:r>
        <w:rPr>
          <w:rFonts w:ascii="宋体" w:hAnsi="宋体" w:hint="eastAsia"/>
          <w:bCs/>
          <w:sz w:val="24"/>
          <w:szCs w:val="24"/>
        </w:rPr>
        <w:t>÷当年天数</w:t>
      </w:r>
    </w:p>
    <w:p w14:paraId="319F82FE" w14:textId="77777777"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H为C类基金份额每日应计提的销售服务费</w:t>
      </w:r>
    </w:p>
    <w:p w14:paraId="4F71199F" w14:textId="77777777"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E为C类基金份额前一日基金资产净值</w:t>
      </w:r>
    </w:p>
    <w:p w14:paraId="40F0D050" w14:textId="77777777" w:rsidR="00166BB1" w:rsidRPr="0076407F" w:rsidRDefault="00166BB1" w:rsidP="0076407F">
      <w:pPr>
        <w:spacing w:line="360" w:lineRule="auto"/>
        <w:ind w:firstLineChars="200" w:firstLine="480"/>
        <w:rPr>
          <w:rFonts w:ascii="仿宋_GB2312" w:hAnsi="仿宋_GB2312"/>
          <w:bCs/>
          <w:sz w:val="24"/>
          <w:szCs w:val="24"/>
        </w:rPr>
      </w:pPr>
      <w:r>
        <w:rPr>
          <w:rFonts w:ascii="仿宋_GB2312" w:hAnsi="仿宋_GB2312" w:hint="eastAsia"/>
          <w:bCs/>
          <w:sz w:val="24"/>
          <w:szCs w:val="24"/>
        </w:rPr>
        <w:t>销售服务费每日计提</w:t>
      </w:r>
      <w:r w:rsidRPr="0076407F">
        <w:rPr>
          <w:rFonts w:ascii="仿宋_GB2312" w:hAnsi="仿宋_GB2312" w:hint="eastAsia"/>
          <w:bCs/>
          <w:sz w:val="24"/>
          <w:szCs w:val="24"/>
        </w:rPr>
        <w:t>。</w:t>
      </w:r>
    </w:p>
    <w:p w14:paraId="717467F3" w14:textId="77777777" w:rsidR="00166BB1" w:rsidRPr="0076407F" w:rsidRDefault="00166BB1" w:rsidP="0076407F">
      <w:pPr>
        <w:spacing w:line="360" w:lineRule="auto"/>
        <w:ind w:firstLineChars="200" w:firstLine="480"/>
        <w:rPr>
          <w:rFonts w:ascii="仿宋_GB2312" w:hAnsi="仿宋_GB2312"/>
          <w:bCs/>
          <w:sz w:val="24"/>
          <w:szCs w:val="24"/>
        </w:rPr>
      </w:pPr>
      <w:r w:rsidRPr="0076407F">
        <w:rPr>
          <w:rFonts w:ascii="仿宋_GB2312" w:hAnsi="仿宋_GB2312" w:hint="eastAsia"/>
          <w:bCs/>
          <w:sz w:val="24"/>
          <w:szCs w:val="24"/>
        </w:rPr>
        <w:t>（</w:t>
      </w:r>
      <w:r w:rsidRPr="0076407F">
        <w:rPr>
          <w:rFonts w:ascii="仿宋_GB2312" w:hAnsi="仿宋_GB2312" w:hint="eastAsia"/>
          <w:bCs/>
          <w:sz w:val="24"/>
          <w:szCs w:val="24"/>
        </w:rPr>
        <w:t>1</w:t>
      </w:r>
      <w:r w:rsidRPr="0076407F">
        <w:rPr>
          <w:rFonts w:ascii="仿宋_GB2312" w:hAnsi="仿宋_GB2312" w:hint="eastAsia"/>
          <w:bCs/>
          <w:sz w:val="24"/>
          <w:szCs w:val="24"/>
        </w:rPr>
        <w:t>）基金管理人</w:t>
      </w:r>
    </w:p>
    <w:p w14:paraId="19C4BBC8" w14:textId="77777777" w:rsidR="00166BB1" w:rsidRPr="0076407F" w:rsidRDefault="00166BB1" w:rsidP="0076407F">
      <w:pPr>
        <w:spacing w:line="360" w:lineRule="auto"/>
        <w:ind w:firstLineChars="200" w:firstLine="480"/>
        <w:rPr>
          <w:rFonts w:ascii="仿宋_GB2312" w:hAnsi="仿宋_GB2312"/>
          <w:bCs/>
          <w:sz w:val="24"/>
          <w:szCs w:val="24"/>
        </w:rPr>
      </w:pPr>
      <w:r w:rsidRPr="0076407F">
        <w:rPr>
          <w:rFonts w:ascii="仿宋_GB2312" w:hAnsi="仿宋_GB2312" w:hint="eastAsia"/>
          <w:bCs/>
          <w:sz w:val="24"/>
          <w:szCs w:val="24"/>
        </w:rPr>
        <w:t>通过基金管理人认购、申购</w:t>
      </w:r>
      <w:r w:rsidRPr="0076407F">
        <w:rPr>
          <w:rFonts w:ascii="仿宋_GB2312" w:hAnsi="仿宋_GB2312" w:hint="eastAsia"/>
          <w:bCs/>
          <w:sz w:val="24"/>
          <w:szCs w:val="24"/>
        </w:rPr>
        <w:t>C</w:t>
      </w:r>
      <w:r w:rsidRPr="0076407F">
        <w:rPr>
          <w:rFonts w:ascii="仿宋_GB2312" w:hAnsi="仿宋_GB2312" w:hint="eastAsia"/>
          <w:bCs/>
          <w:sz w:val="24"/>
          <w:szCs w:val="24"/>
        </w:rPr>
        <w:t>类基金份额的不收取销售服务费。对于投资者通过基金管理人认（申）购的</w:t>
      </w:r>
      <w:r w:rsidRPr="0076407F">
        <w:rPr>
          <w:rFonts w:ascii="仿宋_GB2312" w:hAnsi="仿宋_GB2312" w:hint="eastAsia"/>
          <w:bCs/>
          <w:sz w:val="24"/>
          <w:szCs w:val="24"/>
        </w:rPr>
        <w:t>C</w:t>
      </w:r>
      <w:r w:rsidRPr="0076407F">
        <w:rPr>
          <w:rFonts w:ascii="仿宋_GB2312" w:hAnsi="仿宋_GB2312" w:hint="eastAsia"/>
          <w:bCs/>
          <w:sz w:val="24"/>
          <w:szCs w:val="24"/>
        </w:rPr>
        <w:t>类基金份额计提的销售服务费，在投资者赎回基金份额或基金合同终止时，随赎回款（或清算款）一并返还给投资者。</w:t>
      </w:r>
    </w:p>
    <w:p w14:paraId="2B64ADB7" w14:textId="77777777" w:rsidR="00166BB1" w:rsidRPr="0076407F" w:rsidRDefault="00166BB1" w:rsidP="0076407F">
      <w:pPr>
        <w:spacing w:line="360" w:lineRule="auto"/>
        <w:ind w:firstLineChars="200" w:firstLine="480"/>
        <w:rPr>
          <w:rFonts w:ascii="仿宋_GB2312" w:hAnsi="仿宋_GB2312"/>
          <w:bCs/>
          <w:sz w:val="24"/>
          <w:szCs w:val="24"/>
        </w:rPr>
      </w:pPr>
      <w:r w:rsidRPr="0076407F">
        <w:rPr>
          <w:rFonts w:ascii="仿宋_GB2312" w:hAnsi="仿宋_GB2312" w:hint="eastAsia"/>
          <w:bCs/>
          <w:sz w:val="24"/>
          <w:szCs w:val="24"/>
        </w:rPr>
        <w:t>若遇法定节假日、休息日或不可抗力等致使无法按时支付的，顺延至最近可支付日支付。</w:t>
      </w:r>
    </w:p>
    <w:p w14:paraId="506918F3" w14:textId="77777777" w:rsidR="00166BB1" w:rsidRPr="0076407F" w:rsidRDefault="00166BB1" w:rsidP="0076407F">
      <w:pPr>
        <w:spacing w:line="360" w:lineRule="auto"/>
        <w:ind w:firstLineChars="200" w:firstLine="480"/>
        <w:rPr>
          <w:rFonts w:ascii="仿宋_GB2312" w:hAnsi="仿宋_GB2312"/>
          <w:bCs/>
          <w:sz w:val="24"/>
          <w:szCs w:val="24"/>
        </w:rPr>
      </w:pPr>
      <w:r w:rsidRPr="0076407F">
        <w:rPr>
          <w:rFonts w:ascii="仿宋_GB2312" w:hAnsi="仿宋_GB2312" w:hint="eastAsia"/>
          <w:bCs/>
          <w:sz w:val="24"/>
          <w:szCs w:val="24"/>
        </w:rPr>
        <w:t>（</w:t>
      </w:r>
      <w:r w:rsidRPr="0076407F">
        <w:rPr>
          <w:rFonts w:ascii="仿宋_GB2312" w:hAnsi="仿宋_GB2312" w:hint="eastAsia"/>
          <w:bCs/>
          <w:sz w:val="24"/>
          <w:szCs w:val="24"/>
        </w:rPr>
        <w:t>2</w:t>
      </w:r>
      <w:r w:rsidRPr="0076407F">
        <w:rPr>
          <w:rFonts w:ascii="仿宋_GB2312" w:hAnsi="仿宋_GB2312" w:hint="eastAsia"/>
          <w:bCs/>
          <w:sz w:val="24"/>
          <w:szCs w:val="24"/>
        </w:rPr>
        <w:t>）</w:t>
      </w:r>
      <w:proofErr w:type="gramStart"/>
      <w:r w:rsidRPr="0076407F">
        <w:rPr>
          <w:rFonts w:ascii="仿宋_GB2312" w:hAnsi="仿宋_GB2312" w:hint="eastAsia"/>
          <w:bCs/>
          <w:sz w:val="24"/>
          <w:szCs w:val="24"/>
        </w:rPr>
        <w:t>非基金</w:t>
      </w:r>
      <w:proofErr w:type="gramEnd"/>
      <w:r w:rsidRPr="0076407F">
        <w:rPr>
          <w:rFonts w:ascii="仿宋_GB2312" w:hAnsi="仿宋_GB2312" w:hint="eastAsia"/>
          <w:bCs/>
          <w:sz w:val="24"/>
          <w:szCs w:val="24"/>
        </w:rPr>
        <w:t>管理人的其他销售机构</w:t>
      </w:r>
    </w:p>
    <w:p w14:paraId="6AEF0974" w14:textId="4167A153" w:rsidR="00166BB1" w:rsidRDefault="00166BB1" w:rsidP="0076407F">
      <w:pPr>
        <w:spacing w:line="360" w:lineRule="auto"/>
        <w:ind w:firstLineChars="200" w:firstLine="480"/>
        <w:rPr>
          <w:rFonts w:ascii="仿宋_GB2312" w:hAnsi="仿宋_GB2312"/>
          <w:bCs/>
          <w:sz w:val="24"/>
          <w:szCs w:val="24"/>
        </w:rPr>
      </w:pPr>
      <w:r w:rsidRPr="0076407F">
        <w:rPr>
          <w:rFonts w:ascii="仿宋_GB2312" w:hAnsi="仿宋_GB2312" w:hint="eastAsia"/>
          <w:bCs/>
          <w:sz w:val="24"/>
          <w:szCs w:val="24"/>
        </w:rPr>
        <w:t>对于投资者持续持有期限未超过一年的</w:t>
      </w:r>
      <w:r w:rsidRPr="0076407F">
        <w:rPr>
          <w:rFonts w:ascii="仿宋_GB2312" w:hAnsi="仿宋_GB2312" w:hint="eastAsia"/>
          <w:bCs/>
          <w:sz w:val="24"/>
          <w:szCs w:val="24"/>
        </w:rPr>
        <w:t>C</w:t>
      </w:r>
      <w:r w:rsidRPr="0076407F">
        <w:rPr>
          <w:rFonts w:ascii="仿宋_GB2312" w:hAnsi="仿宋_GB2312" w:hint="eastAsia"/>
          <w:bCs/>
          <w:sz w:val="24"/>
          <w:szCs w:val="24"/>
        </w:rPr>
        <w:t>类基金份额计提的销售服务费</w:t>
      </w:r>
      <w:r>
        <w:rPr>
          <w:rFonts w:ascii="仿宋_GB2312" w:hAnsi="仿宋_GB2312" w:hint="eastAsia"/>
          <w:bCs/>
          <w:sz w:val="24"/>
          <w:szCs w:val="24"/>
        </w:rPr>
        <w:t>，逐日累计至每月月末，按月支付。由基金托管人根据与基金管理人核对一致的财务数据，自动在月初</w:t>
      </w:r>
      <w:r>
        <w:rPr>
          <w:rFonts w:ascii="仿宋_GB2312" w:hAnsi="仿宋_GB2312" w:hint="eastAsia"/>
          <w:bCs/>
          <w:sz w:val="24"/>
          <w:szCs w:val="24"/>
        </w:rPr>
        <w:t>5</w:t>
      </w:r>
      <w:proofErr w:type="gramStart"/>
      <w:r>
        <w:rPr>
          <w:rFonts w:ascii="仿宋_GB2312" w:hAnsi="仿宋_GB2312" w:hint="eastAsia"/>
          <w:bCs/>
          <w:sz w:val="24"/>
          <w:szCs w:val="24"/>
        </w:rPr>
        <w:t>个</w:t>
      </w:r>
      <w:proofErr w:type="gramEnd"/>
      <w:r>
        <w:rPr>
          <w:rFonts w:ascii="仿宋_GB2312" w:hAnsi="仿宋_GB2312" w:hint="eastAsia"/>
          <w:bCs/>
          <w:sz w:val="24"/>
          <w:szCs w:val="24"/>
        </w:rPr>
        <w:t>工作日内、按照指定的账户路径进行资金支付，基金管理人无需再出具资金划拨指令。若遇法定节假日、休息日或不可抗力等致使无法按时支付的，顺延至最近可支付日支付。费用自动扣划后，基金管理人应进行核对，如发现数据不符，及时联系托管人协商解决。</w:t>
      </w:r>
    </w:p>
    <w:p w14:paraId="6F4A858C" w14:textId="77777777" w:rsidR="00166BB1" w:rsidRPr="0076407F" w:rsidRDefault="00166BB1" w:rsidP="0076407F">
      <w:pPr>
        <w:spacing w:line="360" w:lineRule="auto"/>
        <w:ind w:firstLineChars="200" w:firstLine="480"/>
        <w:rPr>
          <w:rFonts w:ascii="仿宋_GB2312" w:hAnsi="仿宋_GB2312"/>
          <w:bCs/>
          <w:sz w:val="24"/>
          <w:szCs w:val="24"/>
        </w:rPr>
      </w:pPr>
      <w:r w:rsidRPr="0076407F">
        <w:rPr>
          <w:rFonts w:ascii="仿宋_GB2312" w:hAnsi="仿宋_GB2312" w:hint="eastAsia"/>
          <w:bCs/>
          <w:sz w:val="24"/>
          <w:szCs w:val="24"/>
        </w:rPr>
        <w:t>对于投资者持续持有期限超过一年的</w:t>
      </w:r>
      <w:r w:rsidRPr="0076407F">
        <w:rPr>
          <w:rFonts w:ascii="仿宋_GB2312" w:hAnsi="仿宋_GB2312" w:hint="eastAsia"/>
          <w:bCs/>
          <w:sz w:val="24"/>
          <w:szCs w:val="24"/>
        </w:rPr>
        <w:t>C</w:t>
      </w:r>
      <w:r w:rsidRPr="0076407F">
        <w:rPr>
          <w:rFonts w:ascii="仿宋_GB2312" w:hAnsi="仿宋_GB2312" w:hint="eastAsia"/>
          <w:bCs/>
          <w:sz w:val="24"/>
          <w:szCs w:val="24"/>
        </w:rPr>
        <w:t>类基金份额继续计提的销售服务费，</w:t>
      </w:r>
      <w:r w:rsidRPr="0076407F">
        <w:rPr>
          <w:rFonts w:ascii="仿宋_GB2312" w:hAnsi="仿宋_GB2312" w:hint="eastAsia"/>
          <w:bCs/>
          <w:sz w:val="24"/>
          <w:szCs w:val="24"/>
        </w:rPr>
        <w:lastRenderedPageBreak/>
        <w:t>在投资者赎回基金份额或基金合同终止时，随赎回款（或清算款）一并返还给投资者。其中，持续持有期限为基金合同生效日（针对募集期内认购的基金份额）或该笔份额申购确认日、转入确认日与赎回确认日、转出确认日或基金合同终止情形发生日下</w:t>
      </w:r>
      <w:proofErr w:type="gramStart"/>
      <w:r w:rsidRPr="0076407F">
        <w:rPr>
          <w:rFonts w:ascii="仿宋_GB2312" w:hAnsi="仿宋_GB2312" w:hint="eastAsia"/>
          <w:bCs/>
          <w:sz w:val="24"/>
          <w:szCs w:val="24"/>
        </w:rPr>
        <w:t>一</w:t>
      </w:r>
      <w:proofErr w:type="gramEnd"/>
      <w:r w:rsidRPr="0076407F">
        <w:rPr>
          <w:rFonts w:ascii="仿宋_GB2312" w:hAnsi="仿宋_GB2312" w:hint="eastAsia"/>
          <w:bCs/>
          <w:sz w:val="24"/>
          <w:szCs w:val="24"/>
        </w:rPr>
        <w:t>工作日的间隔天数。</w:t>
      </w:r>
    </w:p>
    <w:p w14:paraId="18F246F8" w14:textId="77777777" w:rsidR="00166BB1" w:rsidRPr="0076407F" w:rsidRDefault="00166BB1" w:rsidP="0076407F">
      <w:pPr>
        <w:spacing w:line="360" w:lineRule="auto"/>
        <w:ind w:firstLineChars="200" w:firstLine="480"/>
        <w:rPr>
          <w:rFonts w:ascii="仿宋_GB2312" w:hAnsi="仿宋_GB2312"/>
          <w:bCs/>
          <w:sz w:val="24"/>
          <w:szCs w:val="24"/>
        </w:rPr>
      </w:pPr>
      <w:r w:rsidRPr="0076407F">
        <w:rPr>
          <w:rFonts w:ascii="仿宋_GB2312" w:hAnsi="仿宋_GB2312" w:hint="eastAsia"/>
          <w:bCs/>
          <w:sz w:val="24"/>
          <w:szCs w:val="24"/>
        </w:rPr>
        <w:t>若遇法定节假日、休息日或不可抗力等致使无法按时支付的，顺延至最近可支付日支付。</w:t>
      </w:r>
    </w:p>
    <w:p w14:paraId="21995C5B" w14:textId="77777777" w:rsidR="00166BB1" w:rsidRPr="0076407F" w:rsidRDefault="00166BB1" w:rsidP="0076407F">
      <w:pPr>
        <w:spacing w:line="360" w:lineRule="auto"/>
        <w:ind w:firstLineChars="200" w:firstLine="480"/>
        <w:rPr>
          <w:rFonts w:ascii="仿宋_GB2312" w:hAnsi="仿宋_GB2312"/>
          <w:bCs/>
          <w:sz w:val="24"/>
          <w:szCs w:val="24"/>
        </w:rPr>
      </w:pPr>
      <w:r w:rsidRPr="0076407F">
        <w:rPr>
          <w:rFonts w:ascii="仿宋_GB2312" w:hAnsi="仿宋_GB2312" w:hint="eastAsia"/>
          <w:bCs/>
          <w:sz w:val="24"/>
          <w:szCs w:val="24"/>
        </w:rPr>
        <w:t>在基金份额赎回或基金合同终止的情形发生时，基金投资者实际收到的款项可能与按披露的基金份额净值计算的结果存在差异。投资者的实际赎回款（或清算款）以登记机构确认数据为准。</w:t>
      </w:r>
    </w:p>
    <w:p w14:paraId="1378D4BF" w14:textId="77777777" w:rsidR="00166BB1" w:rsidRPr="0076407F" w:rsidRDefault="00166BB1" w:rsidP="0076407F">
      <w:pPr>
        <w:spacing w:line="360" w:lineRule="auto"/>
        <w:ind w:firstLineChars="200" w:firstLine="480"/>
        <w:rPr>
          <w:rFonts w:ascii="仿宋_GB2312" w:hAnsi="仿宋_GB2312"/>
          <w:bCs/>
          <w:sz w:val="24"/>
          <w:szCs w:val="24"/>
        </w:rPr>
      </w:pPr>
      <w:r w:rsidRPr="0076407F">
        <w:rPr>
          <w:rFonts w:ascii="仿宋_GB2312" w:hAnsi="仿宋_GB2312" w:hint="eastAsia"/>
          <w:bCs/>
          <w:sz w:val="24"/>
          <w:szCs w:val="24"/>
        </w:rPr>
        <w:t>在不违反法律法规、基金合同的约定的情况下，基金管理人可根据基金实际运作情况和市场环境变化，经履行适当程序后，对本基金的销售服务费的计提或收取方式进行调整。</w:t>
      </w:r>
    </w:p>
    <w:p w14:paraId="4551F2DF" w14:textId="77777777" w:rsidR="00166BB1" w:rsidRPr="00225634" w:rsidRDefault="00166BB1">
      <w:pPr>
        <w:spacing w:line="360" w:lineRule="auto"/>
        <w:ind w:firstLineChars="200" w:firstLine="480"/>
        <w:rPr>
          <w:rFonts w:ascii="宋体" w:hAnsi="宋体"/>
          <w:bCs/>
          <w:sz w:val="24"/>
          <w:szCs w:val="24"/>
        </w:rPr>
      </w:pPr>
      <w:r>
        <w:rPr>
          <w:rFonts w:ascii="宋体" w:hAnsi="宋体" w:hint="eastAsia"/>
          <w:bCs/>
          <w:sz w:val="24"/>
          <w:szCs w:val="24"/>
        </w:rPr>
        <w:t>上述“（一）基金费用的种类”中第</w:t>
      </w:r>
      <w:r>
        <w:rPr>
          <w:rFonts w:ascii="宋体" w:hAnsi="宋体"/>
          <w:bCs/>
          <w:sz w:val="24"/>
          <w:szCs w:val="24"/>
        </w:rPr>
        <w:t>4</w:t>
      </w:r>
      <w:r>
        <w:rPr>
          <w:rFonts w:ascii="宋体" w:hAnsi="宋体" w:hint="eastAsia"/>
          <w:bCs/>
          <w:sz w:val="24"/>
          <w:szCs w:val="24"/>
        </w:rPr>
        <w:t>－</w:t>
      </w:r>
      <w:r>
        <w:rPr>
          <w:rFonts w:ascii="宋体" w:hAnsi="宋体"/>
          <w:bCs/>
          <w:sz w:val="24"/>
          <w:szCs w:val="24"/>
        </w:rPr>
        <w:t>1</w:t>
      </w:r>
      <w:r>
        <w:rPr>
          <w:rFonts w:ascii="宋体" w:hAnsi="宋体" w:hint="eastAsia"/>
          <w:bCs/>
          <w:sz w:val="24"/>
          <w:szCs w:val="24"/>
        </w:rPr>
        <w:t>1项费用，根据有关法规及相应协议规定，按费用实际支出金额列入当期费用，由基金托管人从基金财产中支付。</w:t>
      </w:r>
      <w:r w:rsidRPr="00225634">
        <w:rPr>
          <w:rFonts w:ascii="宋体" w:hAnsi="宋体"/>
          <w:bCs/>
          <w:sz w:val="24"/>
          <w:szCs w:val="24"/>
        </w:rPr>
        <w:t>基金综合费用水平请参见产品资料概要等文件。</w:t>
      </w:r>
    </w:p>
    <w:p w14:paraId="73DF318C" w14:textId="77777777" w:rsidR="00166BB1" w:rsidRDefault="00166BB1">
      <w:pPr>
        <w:spacing w:line="360" w:lineRule="auto"/>
        <w:ind w:firstLineChars="200" w:firstLine="480"/>
        <w:rPr>
          <w:rFonts w:ascii="宋体" w:hAnsi="宋体"/>
          <w:bCs/>
          <w:sz w:val="24"/>
          <w:szCs w:val="24"/>
        </w:rPr>
      </w:pPr>
      <w:r>
        <w:rPr>
          <w:rFonts w:ascii="宋体" w:hAnsi="宋体"/>
          <w:bCs/>
          <w:sz w:val="24"/>
          <w:szCs w:val="24"/>
        </w:rPr>
        <w:t>（三）不列入基金费用的项目</w:t>
      </w:r>
    </w:p>
    <w:p w14:paraId="547CAE36" w14:textId="77777777" w:rsidR="00166BB1" w:rsidRDefault="00166BB1">
      <w:pPr>
        <w:spacing w:line="360" w:lineRule="auto"/>
        <w:ind w:firstLineChars="200" w:firstLine="480"/>
        <w:rPr>
          <w:rFonts w:ascii="宋体" w:hAnsi="宋体"/>
          <w:bCs/>
          <w:sz w:val="24"/>
          <w:szCs w:val="24"/>
        </w:rPr>
      </w:pPr>
      <w:r>
        <w:rPr>
          <w:rFonts w:ascii="宋体" w:hAnsi="宋体"/>
          <w:bCs/>
          <w:sz w:val="24"/>
          <w:szCs w:val="24"/>
        </w:rPr>
        <w:t>下列费用不列入基金费用：</w:t>
      </w:r>
    </w:p>
    <w:p w14:paraId="4E342C40" w14:textId="77777777" w:rsidR="00166BB1" w:rsidRDefault="00166BB1">
      <w:pPr>
        <w:spacing w:line="360" w:lineRule="auto"/>
        <w:ind w:firstLineChars="200" w:firstLine="480"/>
        <w:rPr>
          <w:rFonts w:ascii="宋体" w:hAnsi="宋体"/>
          <w:bCs/>
          <w:sz w:val="24"/>
          <w:szCs w:val="24"/>
        </w:rPr>
      </w:pPr>
      <w:r>
        <w:rPr>
          <w:rFonts w:ascii="宋体" w:hAnsi="宋体"/>
          <w:bCs/>
          <w:sz w:val="24"/>
          <w:szCs w:val="24"/>
        </w:rPr>
        <w:t>1、基金管理人和基金托管人因未履行或未完全履行义务导致的费用支出或基金财产的损失；</w:t>
      </w:r>
    </w:p>
    <w:p w14:paraId="42927CE6" w14:textId="77777777" w:rsidR="00166BB1" w:rsidRDefault="00166BB1">
      <w:pPr>
        <w:spacing w:line="360" w:lineRule="auto"/>
        <w:ind w:firstLineChars="200" w:firstLine="480"/>
        <w:rPr>
          <w:rFonts w:ascii="宋体" w:hAnsi="宋体"/>
          <w:bCs/>
          <w:sz w:val="24"/>
          <w:szCs w:val="24"/>
        </w:rPr>
      </w:pPr>
      <w:r>
        <w:rPr>
          <w:rFonts w:ascii="宋体" w:hAnsi="宋体"/>
          <w:bCs/>
          <w:sz w:val="24"/>
          <w:szCs w:val="24"/>
        </w:rPr>
        <w:t>2、基金管理人和基金托管人处理与基金运作无关的事项发生的费用；</w:t>
      </w:r>
    </w:p>
    <w:p w14:paraId="08CE61BE" w14:textId="77777777" w:rsidR="00166BB1" w:rsidRDefault="00166BB1">
      <w:pPr>
        <w:spacing w:line="360" w:lineRule="auto"/>
        <w:ind w:firstLineChars="200" w:firstLine="480"/>
        <w:rPr>
          <w:rFonts w:ascii="宋体" w:hAnsi="宋体"/>
          <w:bCs/>
          <w:sz w:val="24"/>
          <w:szCs w:val="24"/>
        </w:rPr>
      </w:pPr>
      <w:r>
        <w:rPr>
          <w:rFonts w:ascii="宋体" w:hAnsi="宋体"/>
          <w:bCs/>
          <w:sz w:val="24"/>
          <w:szCs w:val="24"/>
        </w:rPr>
        <w:t>3、基金合同生效前的相关费用；</w:t>
      </w:r>
    </w:p>
    <w:p w14:paraId="708875DC" w14:textId="77777777"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4</w:t>
      </w:r>
      <w:r>
        <w:rPr>
          <w:rFonts w:ascii="宋体" w:hAnsi="宋体"/>
          <w:bCs/>
          <w:sz w:val="24"/>
          <w:szCs w:val="24"/>
        </w:rPr>
        <w:t>、其他根据相关法律法规及中国证监会的有关规定不得列入基金费用的项目。</w:t>
      </w:r>
    </w:p>
    <w:p w14:paraId="3E1E6FD5" w14:textId="77777777"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（四</w:t>
      </w:r>
      <w:r>
        <w:rPr>
          <w:rFonts w:ascii="宋体" w:hAnsi="宋体"/>
          <w:bCs/>
          <w:sz w:val="24"/>
          <w:szCs w:val="24"/>
        </w:rPr>
        <w:t>）</w:t>
      </w:r>
      <w:r>
        <w:rPr>
          <w:rFonts w:ascii="宋体" w:hAnsi="宋体" w:hint="eastAsia"/>
          <w:bCs/>
          <w:sz w:val="24"/>
          <w:szCs w:val="24"/>
        </w:rPr>
        <w:t>实施</w:t>
      </w:r>
      <w:proofErr w:type="gramStart"/>
      <w:r>
        <w:rPr>
          <w:rFonts w:ascii="宋体" w:hAnsi="宋体" w:hint="eastAsia"/>
          <w:bCs/>
          <w:sz w:val="24"/>
          <w:szCs w:val="24"/>
        </w:rPr>
        <w:t>侧袋机制</w:t>
      </w:r>
      <w:proofErr w:type="gramEnd"/>
      <w:r>
        <w:rPr>
          <w:rFonts w:ascii="宋体" w:hAnsi="宋体" w:hint="eastAsia"/>
          <w:bCs/>
          <w:sz w:val="24"/>
          <w:szCs w:val="24"/>
        </w:rPr>
        <w:t>期间的基金费用</w:t>
      </w:r>
    </w:p>
    <w:p w14:paraId="30B52269" w14:textId="77777777"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本基金实施</w:t>
      </w:r>
      <w:proofErr w:type="gramStart"/>
      <w:r>
        <w:rPr>
          <w:rFonts w:ascii="宋体" w:hAnsi="宋体" w:hint="eastAsia"/>
          <w:bCs/>
          <w:sz w:val="24"/>
          <w:szCs w:val="24"/>
        </w:rPr>
        <w:t>侧袋机制</w:t>
      </w:r>
      <w:proofErr w:type="gramEnd"/>
      <w:r>
        <w:rPr>
          <w:rFonts w:ascii="宋体" w:hAnsi="宋体" w:hint="eastAsia"/>
          <w:bCs/>
          <w:sz w:val="24"/>
          <w:szCs w:val="24"/>
        </w:rPr>
        <w:t>的，</w:t>
      </w:r>
      <w:proofErr w:type="gramStart"/>
      <w:r>
        <w:rPr>
          <w:rFonts w:ascii="宋体" w:hAnsi="宋体" w:hint="eastAsia"/>
          <w:bCs/>
          <w:sz w:val="24"/>
          <w:szCs w:val="24"/>
        </w:rPr>
        <w:t>与侧袋账户</w:t>
      </w:r>
      <w:proofErr w:type="gramEnd"/>
      <w:r>
        <w:rPr>
          <w:rFonts w:ascii="宋体" w:hAnsi="宋体" w:hint="eastAsia"/>
          <w:bCs/>
          <w:sz w:val="24"/>
          <w:szCs w:val="24"/>
        </w:rPr>
        <w:t>有关的费用可以</w:t>
      </w:r>
      <w:proofErr w:type="gramStart"/>
      <w:r>
        <w:rPr>
          <w:rFonts w:ascii="宋体" w:hAnsi="宋体" w:hint="eastAsia"/>
          <w:bCs/>
          <w:sz w:val="24"/>
          <w:szCs w:val="24"/>
        </w:rPr>
        <w:t>从侧袋账户</w:t>
      </w:r>
      <w:proofErr w:type="gramEnd"/>
      <w:r>
        <w:rPr>
          <w:rFonts w:ascii="宋体" w:hAnsi="宋体" w:hint="eastAsia"/>
          <w:bCs/>
          <w:sz w:val="24"/>
          <w:szCs w:val="24"/>
        </w:rPr>
        <w:t>中列支，但应</w:t>
      </w:r>
      <w:proofErr w:type="gramStart"/>
      <w:r>
        <w:rPr>
          <w:rFonts w:ascii="宋体" w:hAnsi="宋体" w:hint="eastAsia"/>
          <w:bCs/>
          <w:sz w:val="24"/>
          <w:szCs w:val="24"/>
        </w:rPr>
        <w:t>待侧袋</w:t>
      </w:r>
      <w:proofErr w:type="gramEnd"/>
      <w:r>
        <w:rPr>
          <w:rFonts w:ascii="宋体" w:hAnsi="宋体" w:hint="eastAsia"/>
          <w:bCs/>
          <w:sz w:val="24"/>
          <w:szCs w:val="24"/>
        </w:rPr>
        <w:t>账户资产变现后方可列支，有关费用可酌情收取或减免，但不得收取基金管理费，详见招募说明书的规定或相关公告。</w:t>
      </w:r>
    </w:p>
    <w:p w14:paraId="2FF5DC6E" w14:textId="77777777" w:rsidR="00166BB1" w:rsidRDefault="00166BB1">
      <w:pPr>
        <w:spacing w:line="360" w:lineRule="auto"/>
        <w:ind w:firstLineChars="200" w:firstLine="480"/>
        <w:rPr>
          <w:rFonts w:ascii="宋体" w:hAnsi="宋体"/>
          <w:bCs/>
          <w:sz w:val="24"/>
          <w:szCs w:val="24"/>
        </w:rPr>
      </w:pPr>
      <w:r>
        <w:rPr>
          <w:rFonts w:ascii="宋体" w:hAnsi="宋体" w:hint="eastAsia"/>
          <w:bCs/>
          <w:sz w:val="24"/>
          <w:szCs w:val="24"/>
        </w:rPr>
        <w:t>（五）</w:t>
      </w:r>
      <w:r>
        <w:rPr>
          <w:rFonts w:ascii="宋体" w:hAnsi="宋体"/>
          <w:bCs/>
          <w:sz w:val="24"/>
          <w:szCs w:val="24"/>
        </w:rPr>
        <w:t>基金税收</w:t>
      </w:r>
    </w:p>
    <w:p w14:paraId="061629F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本基金运作过程中涉及的各纳税主体，其纳税义务按国家税收法律、法规执行。基金财产投资的相关税收，由基金份额持有人承担，基金管理人或者其他扣</w:t>
      </w:r>
      <w:r>
        <w:rPr>
          <w:rFonts w:ascii="宋体" w:hAnsi="宋体" w:hint="eastAsia"/>
          <w:bCs/>
          <w:sz w:val="24"/>
          <w:szCs w:val="24"/>
        </w:rPr>
        <w:lastRenderedPageBreak/>
        <w:t>缴义务人按照国家有关税收征收的规定代扣代缴。</w:t>
      </w:r>
    </w:p>
    <w:p w14:paraId="1B55104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五、基金财产的投资方向和投资限制</w:t>
      </w:r>
    </w:p>
    <w:p w14:paraId="295E069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bCs/>
          <w:sz w:val="24"/>
          <w:szCs w:val="24"/>
        </w:rPr>
        <w:t>（一）投资范围</w:t>
      </w:r>
    </w:p>
    <w:p w14:paraId="17300C21"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本基金以目标</w:t>
      </w:r>
      <w:r w:rsidRPr="00AD2C2A">
        <w:rPr>
          <w:rFonts w:ascii="宋体" w:hAnsi="宋体"/>
          <w:bCs/>
          <w:sz w:val="24"/>
          <w:szCs w:val="24"/>
        </w:rPr>
        <w:t>ETF</w:t>
      </w:r>
      <w:r w:rsidRPr="00AD2C2A">
        <w:rPr>
          <w:rFonts w:ascii="宋体" w:hAnsi="宋体" w:hint="eastAsia"/>
          <w:bCs/>
          <w:sz w:val="24"/>
          <w:szCs w:val="24"/>
        </w:rPr>
        <w:t>基金份额、标的指数成份股及备选成份股（均含存托凭证，下同）为主要投资对象。此外，为更好地实现投资目标，本基金可少量投资于部分非成份股（包括主板股票、</w:t>
      </w:r>
      <w:r>
        <w:rPr>
          <w:rFonts w:ascii="宋体" w:hAnsi="宋体" w:hint="eastAsia"/>
          <w:bCs/>
          <w:sz w:val="24"/>
          <w:szCs w:val="24"/>
        </w:rPr>
        <w:t>创业板股票、</w:t>
      </w:r>
      <w:proofErr w:type="gramStart"/>
      <w:r w:rsidRPr="00AD2C2A">
        <w:rPr>
          <w:rFonts w:ascii="宋体" w:hAnsi="宋体" w:hint="eastAsia"/>
          <w:bCs/>
          <w:sz w:val="24"/>
          <w:szCs w:val="24"/>
        </w:rPr>
        <w:t>科创板</w:t>
      </w:r>
      <w:proofErr w:type="gramEnd"/>
      <w:r w:rsidRPr="00AD2C2A">
        <w:rPr>
          <w:rFonts w:ascii="宋体" w:hAnsi="宋体" w:hint="eastAsia"/>
          <w:bCs/>
          <w:sz w:val="24"/>
          <w:szCs w:val="24"/>
        </w:rPr>
        <w:t>股票、存托凭证及其他经中国证监会核准或注册上市的股票）、债券资产（包括国债、金融债券、企业债券、公司债券、公开发行的次级债券、可转换公司债</w:t>
      </w:r>
      <w:proofErr w:type="gramStart"/>
      <w:r w:rsidRPr="00AD2C2A">
        <w:rPr>
          <w:rFonts w:ascii="宋体" w:hAnsi="宋体" w:hint="eastAsia"/>
          <w:bCs/>
          <w:sz w:val="24"/>
          <w:szCs w:val="24"/>
        </w:rPr>
        <w:t>券</w:t>
      </w:r>
      <w:proofErr w:type="gramEnd"/>
      <w:r w:rsidRPr="00AD2C2A">
        <w:rPr>
          <w:rFonts w:ascii="宋体" w:hAnsi="宋体" w:hint="eastAsia"/>
          <w:bCs/>
          <w:sz w:val="24"/>
          <w:szCs w:val="24"/>
        </w:rPr>
        <w:t>（含分离交易的可转换公司债</w:t>
      </w:r>
      <w:proofErr w:type="gramStart"/>
      <w:r w:rsidRPr="00AD2C2A">
        <w:rPr>
          <w:rFonts w:ascii="宋体" w:hAnsi="宋体" w:hint="eastAsia"/>
          <w:bCs/>
          <w:sz w:val="24"/>
          <w:szCs w:val="24"/>
        </w:rPr>
        <w:t>券</w:t>
      </w:r>
      <w:proofErr w:type="gramEnd"/>
      <w:r w:rsidRPr="00AD2C2A">
        <w:rPr>
          <w:rFonts w:ascii="宋体" w:hAnsi="宋体" w:hint="eastAsia"/>
          <w:bCs/>
          <w:sz w:val="24"/>
          <w:szCs w:val="24"/>
        </w:rPr>
        <w:t>）、央行票据、短期融资</w:t>
      </w:r>
      <w:proofErr w:type="gramStart"/>
      <w:r w:rsidRPr="00AD2C2A">
        <w:rPr>
          <w:rFonts w:ascii="宋体" w:hAnsi="宋体" w:hint="eastAsia"/>
          <w:bCs/>
          <w:sz w:val="24"/>
          <w:szCs w:val="24"/>
        </w:rPr>
        <w:t>券</w:t>
      </w:r>
      <w:proofErr w:type="gramEnd"/>
      <w:r w:rsidRPr="00AD2C2A">
        <w:rPr>
          <w:rFonts w:ascii="宋体" w:hAnsi="宋体" w:hint="eastAsia"/>
          <w:bCs/>
          <w:sz w:val="24"/>
          <w:szCs w:val="24"/>
        </w:rPr>
        <w:t>、超短期融资</w:t>
      </w:r>
      <w:proofErr w:type="gramStart"/>
      <w:r w:rsidRPr="00AD2C2A">
        <w:rPr>
          <w:rFonts w:ascii="宋体" w:hAnsi="宋体" w:hint="eastAsia"/>
          <w:bCs/>
          <w:sz w:val="24"/>
          <w:szCs w:val="24"/>
        </w:rPr>
        <w:t>券</w:t>
      </w:r>
      <w:proofErr w:type="gramEnd"/>
      <w:r w:rsidRPr="00AD2C2A">
        <w:rPr>
          <w:rFonts w:ascii="宋体" w:hAnsi="宋体" w:hint="eastAsia"/>
          <w:bCs/>
          <w:sz w:val="24"/>
          <w:szCs w:val="24"/>
        </w:rPr>
        <w:t>、地方政府债券、政府支持机构债券、中期票据、可交换债券以及其他中国证监会允许投资的债券）、银行存款（包括银行定期存款、协议存款及其他银行存款）、资产支持证券、债券回购、同业存单、现金、衍生工具（股指期货、股票期权、国债期货）以及法律法规或中国证监会允许基金投资的其他金融工具，但须符合中国证监会相关规定。</w:t>
      </w:r>
    </w:p>
    <w:p w14:paraId="294DFAB9"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本基金可以根据相关法律法规，参与融资及转融通证券出借业务。</w:t>
      </w:r>
    </w:p>
    <w:p w14:paraId="2F984F8B"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如法律法规或监管机构以后允许基金投资其他品种，基金管理人在履行适当程序后，可以将其纳入投资范围，其投资原则及投资比例</w:t>
      </w:r>
      <w:proofErr w:type="gramStart"/>
      <w:r w:rsidRPr="00AD2C2A">
        <w:rPr>
          <w:rFonts w:ascii="宋体" w:hAnsi="宋体" w:hint="eastAsia"/>
          <w:bCs/>
          <w:sz w:val="24"/>
          <w:szCs w:val="24"/>
        </w:rPr>
        <w:t>限制按</w:t>
      </w:r>
      <w:proofErr w:type="gramEnd"/>
      <w:r w:rsidRPr="00AD2C2A">
        <w:rPr>
          <w:rFonts w:ascii="宋体" w:hAnsi="宋体" w:hint="eastAsia"/>
          <w:bCs/>
          <w:sz w:val="24"/>
          <w:szCs w:val="24"/>
        </w:rPr>
        <w:t>法律法规或监管机构的相关规定执行。</w:t>
      </w:r>
    </w:p>
    <w:p w14:paraId="01305427"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基金的投资组合比例为：本基金投资于目标</w:t>
      </w:r>
      <w:r w:rsidRPr="00AD2C2A">
        <w:rPr>
          <w:rFonts w:ascii="宋体" w:hAnsi="宋体"/>
          <w:bCs/>
          <w:sz w:val="24"/>
          <w:szCs w:val="24"/>
        </w:rPr>
        <w:t>ETF</w:t>
      </w:r>
      <w:r w:rsidRPr="00AD2C2A">
        <w:rPr>
          <w:rFonts w:ascii="宋体" w:hAnsi="宋体" w:hint="eastAsia"/>
          <w:bCs/>
          <w:sz w:val="24"/>
          <w:szCs w:val="24"/>
        </w:rPr>
        <w:t>的比例不低于基金资产净值的</w:t>
      </w:r>
      <w:r w:rsidRPr="00AD2C2A">
        <w:rPr>
          <w:rFonts w:ascii="宋体" w:hAnsi="宋体"/>
          <w:bCs/>
          <w:sz w:val="24"/>
          <w:szCs w:val="24"/>
        </w:rPr>
        <w:t>90%</w:t>
      </w:r>
      <w:r w:rsidRPr="00AD2C2A">
        <w:rPr>
          <w:rFonts w:ascii="宋体" w:hAnsi="宋体" w:hint="eastAsia"/>
          <w:bCs/>
          <w:sz w:val="24"/>
          <w:szCs w:val="24"/>
        </w:rPr>
        <w:t>，每个交易日日终在扣除股指期货合约、股票期权合约和国债期货合约需缴纳的交易保证金后，保持不低于基金资产净值</w:t>
      </w:r>
      <w:r w:rsidRPr="00AD2C2A">
        <w:rPr>
          <w:rFonts w:ascii="宋体" w:hAnsi="宋体"/>
          <w:bCs/>
          <w:sz w:val="24"/>
          <w:szCs w:val="24"/>
        </w:rPr>
        <w:t>5%</w:t>
      </w:r>
      <w:r w:rsidRPr="00AD2C2A">
        <w:rPr>
          <w:rFonts w:ascii="宋体" w:hAnsi="宋体" w:hint="eastAsia"/>
          <w:bCs/>
          <w:sz w:val="24"/>
          <w:szCs w:val="24"/>
        </w:rPr>
        <w:t>的现金或者到期日在一年以内的政府债券，其中，现金不包括结算备付金、存出保证金和应收申购款等。</w:t>
      </w:r>
    </w:p>
    <w:p w14:paraId="361908AD"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如法律法规或监管机构变更相关投资品种的投资比例限制，基金管理人在履行适当程序后，可以调整上述投资品种的投资比例或按变更后的规定执行。</w:t>
      </w:r>
    </w:p>
    <w:p w14:paraId="796EAAA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（二）投资限制</w:t>
      </w:r>
    </w:p>
    <w:p w14:paraId="25953A0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1、组合限制</w:t>
      </w:r>
    </w:p>
    <w:p w14:paraId="68E11B4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基金的投资组合应遵循以下限制：</w:t>
      </w:r>
    </w:p>
    <w:p w14:paraId="1EDF633C"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w:t>
      </w:r>
      <w:r w:rsidRPr="00AD2C2A">
        <w:rPr>
          <w:rFonts w:ascii="宋体" w:hAnsi="宋体"/>
          <w:bCs/>
          <w:sz w:val="24"/>
          <w:szCs w:val="24"/>
        </w:rPr>
        <w:t>1</w:t>
      </w:r>
      <w:r w:rsidRPr="00AD2C2A">
        <w:rPr>
          <w:rFonts w:ascii="宋体" w:hAnsi="宋体" w:hint="eastAsia"/>
          <w:bCs/>
          <w:sz w:val="24"/>
          <w:szCs w:val="24"/>
        </w:rPr>
        <w:t>）本基金持有的目标</w:t>
      </w:r>
      <w:r w:rsidRPr="00AD2C2A">
        <w:rPr>
          <w:rFonts w:ascii="宋体" w:hAnsi="宋体"/>
          <w:bCs/>
          <w:sz w:val="24"/>
          <w:szCs w:val="24"/>
        </w:rPr>
        <w:t>ETF</w:t>
      </w:r>
      <w:r w:rsidRPr="00AD2C2A">
        <w:rPr>
          <w:rFonts w:ascii="宋体" w:hAnsi="宋体" w:hint="eastAsia"/>
          <w:bCs/>
          <w:sz w:val="24"/>
          <w:szCs w:val="24"/>
        </w:rPr>
        <w:t>的比例不得低于基金资产净值的</w:t>
      </w:r>
      <w:r w:rsidRPr="00AD2C2A">
        <w:rPr>
          <w:rFonts w:ascii="宋体" w:hAnsi="宋体"/>
          <w:bCs/>
          <w:sz w:val="24"/>
          <w:szCs w:val="24"/>
        </w:rPr>
        <w:t>90%</w:t>
      </w:r>
      <w:r w:rsidRPr="00AD2C2A">
        <w:rPr>
          <w:rFonts w:ascii="宋体" w:hAnsi="宋体" w:hint="eastAsia"/>
          <w:bCs/>
          <w:sz w:val="24"/>
          <w:szCs w:val="24"/>
        </w:rPr>
        <w:t>；</w:t>
      </w:r>
    </w:p>
    <w:p w14:paraId="7AEEA75F"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w:t>
      </w:r>
      <w:r w:rsidRPr="00AD2C2A">
        <w:rPr>
          <w:rFonts w:ascii="宋体" w:hAnsi="宋体"/>
          <w:bCs/>
          <w:sz w:val="24"/>
          <w:szCs w:val="24"/>
        </w:rPr>
        <w:t>2</w:t>
      </w:r>
      <w:r w:rsidRPr="00AD2C2A">
        <w:rPr>
          <w:rFonts w:ascii="宋体" w:hAnsi="宋体" w:hint="eastAsia"/>
          <w:bCs/>
          <w:sz w:val="24"/>
          <w:szCs w:val="24"/>
        </w:rPr>
        <w:t>）本基金每个交易日日终在扣除股指期货合约、股票期权合约和国债期货合约需缴纳的交易保证金后，保持不低于基金资产净值</w:t>
      </w:r>
      <w:r w:rsidRPr="00AD2C2A">
        <w:rPr>
          <w:rFonts w:ascii="宋体" w:hAnsi="宋体"/>
          <w:bCs/>
          <w:sz w:val="24"/>
          <w:szCs w:val="24"/>
        </w:rPr>
        <w:t>5%</w:t>
      </w:r>
      <w:r w:rsidRPr="00AD2C2A">
        <w:rPr>
          <w:rFonts w:ascii="宋体" w:hAnsi="宋体" w:hint="eastAsia"/>
          <w:bCs/>
          <w:sz w:val="24"/>
          <w:szCs w:val="24"/>
        </w:rPr>
        <w:t>的现金或者到期日在一年以内的政府债券，其中现金不包括结算备付金、存出保证金和应收申购款</w:t>
      </w:r>
      <w:r w:rsidRPr="00AD2C2A">
        <w:rPr>
          <w:rFonts w:ascii="宋体" w:hAnsi="宋体" w:hint="eastAsia"/>
          <w:bCs/>
          <w:sz w:val="24"/>
          <w:szCs w:val="24"/>
        </w:rPr>
        <w:lastRenderedPageBreak/>
        <w:t>等；</w:t>
      </w:r>
    </w:p>
    <w:p w14:paraId="3097D8A8"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w:t>
      </w:r>
      <w:r w:rsidRPr="00AD2C2A">
        <w:rPr>
          <w:rFonts w:ascii="宋体" w:hAnsi="宋体"/>
          <w:bCs/>
          <w:sz w:val="24"/>
          <w:szCs w:val="24"/>
        </w:rPr>
        <w:t>3</w:t>
      </w:r>
      <w:r w:rsidRPr="00AD2C2A">
        <w:rPr>
          <w:rFonts w:ascii="宋体" w:hAnsi="宋体" w:hint="eastAsia"/>
          <w:bCs/>
          <w:sz w:val="24"/>
          <w:szCs w:val="24"/>
        </w:rPr>
        <w:t>）本基金投资于股指期货</w:t>
      </w:r>
      <w:r>
        <w:rPr>
          <w:rFonts w:ascii="宋体" w:hAnsi="宋体" w:hint="eastAsia"/>
          <w:bCs/>
          <w:sz w:val="24"/>
          <w:szCs w:val="24"/>
        </w:rPr>
        <w:t>的</w:t>
      </w:r>
      <w:r w:rsidRPr="00AD2C2A">
        <w:rPr>
          <w:rFonts w:ascii="宋体" w:hAnsi="宋体" w:hint="eastAsia"/>
          <w:bCs/>
          <w:sz w:val="24"/>
          <w:szCs w:val="24"/>
        </w:rPr>
        <w:t>，需遵循以下投资比例限制：</w:t>
      </w:r>
    </w:p>
    <w:p w14:paraId="4C5F634C"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在任何交易日日终，持有的买入股指期货合约价值，不得超过基金资产净值的</w:t>
      </w:r>
      <w:r w:rsidRPr="00AD2C2A">
        <w:rPr>
          <w:rFonts w:ascii="宋体" w:hAnsi="宋体"/>
          <w:bCs/>
          <w:sz w:val="24"/>
          <w:szCs w:val="24"/>
        </w:rPr>
        <w:t>10%</w:t>
      </w:r>
      <w:r w:rsidRPr="00AD2C2A">
        <w:rPr>
          <w:rFonts w:ascii="宋体" w:hAnsi="宋体" w:hint="eastAsia"/>
          <w:bCs/>
          <w:sz w:val="24"/>
          <w:szCs w:val="24"/>
        </w:rPr>
        <w:t>；基金在任何交易日日终，持有的卖出期货合约价值不得超过基金持有的股票和目标</w:t>
      </w:r>
      <w:r w:rsidRPr="00AD2C2A">
        <w:rPr>
          <w:rFonts w:ascii="宋体" w:hAnsi="宋体"/>
          <w:bCs/>
          <w:sz w:val="24"/>
          <w:szCs w:val="24"/>
        </w:rPr>
        <w:t>ETF</w:t>
      </w:r>
      <w:r w:rsidRPr="00AD2C2A">
        <w:rPr>
          <w:rFonts w:ascii="宋体" w:hAnsi="宋体" w:hint="eastAsia"/>
          <w:bCs/>
          <w:sz w:val="24"/>
          <w:szCs w:val="24"/>
        </w:rPr>
        <w:t>总市值的</w:t>
      </w:r>
      <w:r w:rsidRPr="00AD2C2A">
        <w:rPr>
          <w:rFonts w:ascii="宋体" w:hAnsi="宋体"/>
          <w:bCs/>
          <w:sz w:val="24"/>
          <w:szCs w:val="24"/>
        </w:rPr>
        <w:t>20%</w:t>
      </w:r>
      <w:r w:rsidRPr="00AD2C2A">
        <w:rPr>
          <w:rFonts w:ascii="宋体" w:hAnsi="宋体" w:hint="eastAsia"/>
          <w:bCs/>
          <w:sz w:val="24"/>
          <w:szCs w:val="24"/>
        </w:rPr>
        <w:t>；本基金所持有的股票市值和买入、卖出股指期货合约价值，合计（轧差计算）应当符合基金合同关于股票投资比例的有关约定；在任何交易日内交易（不包括平仓）的股指期货合约的成交金额不得超过上一交易日基金资产净值的</w:t>
      </w:r>
      <w:r w:rsidRPr="00AD2C2A">
        <w:rPr>
          <w:rFonts w:ascii="宋体" w:hAnsi="宋体"/>
          <w:bCs/>
          <w:sz w:val="24"/>
          <w:szCs w:val="24"/>
        </w:rPr>
        <w:t>20%</w:t>
      </w:r>
      <w:r w:rsidRPr="00AD2C2A">
        <w:rPr>
          <w:rFonts w:ascii="宋体" w:hAnsi="宋体" w:hint="eastAsia"/>
          <w:bCs/>
          <w:sz w:val="24"/>
          <w:szCs w:val="24"/>
        </w:rPr>
        <w:t>；</w:t>
      </w:r>
    </w:p>
    <w:p w14:paraId="02713248"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w:t>
      </w:r>
      <w:r w:rsidRPr="00AD2C2A">
        <w:rPr>
          <w:rFonts w:ascii="宋体" w:hAnsi="宋体"/>
          <w:bCs/>
          <w:sz w:val="24"/>
          <w:szCs w:val="24"/>
        </w:rPr>
        <w:t>4</w:t>
      </w:r>
      <w:r w:rsidRPr="00AD2C2A">
        <w:rPr>
          <w:rFonts w:ascii="宋体" w:hAnsi="宋体" w:hint="eastAsia"/>
          <w:bCs/>
          <w:sz w:val="24"/>
          <w:szCs w:val="24"/>
        </w:rPr>
        <w:t>）本基金参与股票期权交易</w:t>
      </w:r>
      <w:r>
        <w:rPr>
          <w:rFonts w:ascii="宋体" w:hAnsi="宋体" w:hint="eastAsia"/>
          <w:bCs/>
          <w:sz w:val="24"/>
          <w:szCs w:val="24"/>
        </w:rPr>
        <w:t>的</w:t>
      </w:r>
      <w:r w:rsidRPr="00AD2C2A">
        <w:rPr>
          <w:rFonts w:ascii="宋体" w:hAnsi="宋体" w:hint="eastAsia"/>
          <w:bCs/>
          <w:sz w:val="24"/>
          <w:szCs w:val="24"/>
        </w:rPr>
        <w:t>，需遵守下列投资比例限制：因未平仓的期权合约支付和收取的权利金总额不得超过基金资产净值的</w:t>
      </w:r>
      <w:r w:rsidRPr="00AD2C2A">
        <w:rPr>
          <w:rFonts w:ascii="宋体" w:hAnsi="宋体"/>
          <w:bCs/>
          <w:sz w:val="24"/>
          <w:szCs w:val="24"/>
        </w:rPr>
        <w:t>10%</w:t>
      </w:r>
      <w:r w:rsidRPr="00AD2C2A">
        <w:rPr>
          <w:rFonts w:ascii="宋体" w:hAnsi="宋体" w:hint="eastAsia"/>
          <w:bCs/>
          <w:sz w:val="24"/>
          <w:szCs w:val="24"/>
        </w:rPr>
        <w:t>；开仓卖出认购期权的，应持有足额标的证券；开仓卖出认沽期权的，应持有合约行权所需的全额现金或交易所规则认可的可冲抵期权保证金的现金等价物；未平仓的期权合约面值不得超过基金资产净值的</w:t>
      </w:r>
      <w:r w:rsidRPr="00AD2C2A">
        <w:rPr>
          <w:rFonts w:ascii="宋体" w:hAnsi="宋体"/>
          <w:bCs/>
          <w:sz w:val="24"/>
          <w:szCs w:val="24"/>
        </w:rPr>
        <w:t>20%</w:t>
      </w:r>
      <w:r w:rsidRPr="00AD2C2A">
        <w:rPr>
          <w:rFonts w:ascii="宋体" w:hAnsi="宋体" w:hint="eastAsia"/>
          <w:bCs/>
          <w:sz w:val="24"/>
          <w:szCs w:val="24"/>
        </w:rPr>
        <w:t>。其中，合约面值按照行权价乘以合约乘数计算；基金投资股票期权符合基金合同约定的比例限制（如股票</w:t>
      </w:r>
      <w:proofErr w:type="gramStart"/>
      <w:r w:rsidRPr="00AD2C2A">
        <w:rPr>
          <w:rFonts w:ascii="宋体" w:hAnsi="宋体" w:hint="eastAsia"/>
          <w:bCs/>
          <w:sz w:val="24"/>
          <w:szCs w:val="24"/>
        </w:rPr>
        <w:t>仓位</w:t>
      </w:r>
      <w:proofErr w:type="gramEnd"/>
      <w:r w:rsidRPr="00AD2C2A">
        <w:rPr>
          <w:rFonts w:ascii="宋体" w:hAnsi="宋体" w:hint="eastAsia"/>
          <w:bCs/>
          <w:sz w:val="24"/>
          <w:szCs w:val="24"/>
        </w:rPr>
        <w:t>、个股占比等）、投资目标和风险收益特征；</w:t>
      </w:r>
    </w:p>
    <w:p w14:paraId="4BA29533"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w:t>
      </w:r>
      <w:r w:rsidRPr="00AD2C2A">
        <w:rPr>
          <w:rFonts w:ascii="宋体" w:hAnsi="宋体"/>
          <w:bCs/>
          <w:sz w:val="24"/>
          <w:szCs w:val="24"/>
        </w:rPr>
        <w:t>5</w:t>
      </w:r>
      <w:r w:rsidRPr="00AD2C2A">
        <w:rPr>
          <w:rFonts w:ascii="宋体" w:hAnsi="宋体" w:hint="eastAsia"/>
          <w:bCs/>
          <w:sz w:val="24"/>
          <w:szCs w:val="24"/>
        </w:rPr>
        <w:t>）本基金参与国债期货交易的，需遵守下列投资比例限制：</w:t>
      </w:r>
    </w:p>
    <w:p w14:paraId="3742A357"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本基金在任何交易日日终，持有的买入国债期货合约价值，不得超过基金资产净值的</w:t>
      </w:r>
      <w:r w:rsidRPr="00AD2C2A">
        <w:rPr>
          <w:rFonts w:ascii="宋体" w:hAnsi="宋体"/>
          <w:bCs/>
          <w:sz w:val="24"/>
          <w:szCs w:val="24"/>
        </w:rPr>
        <w:t>15%</w:t>
      </w:r>
      <w:r w:rsidRPr="00AD2C2A">
        <w:rPr>
          <w:rFonts w:ascii="宋体" w:hAnsi="宋体" w:hint="eastAsia"/>
          <w:bCs/>
          <w:sz w:val="24"/>
          <w:szCs w:val="24"/>
        </w:rPr>
        <w:t>；本基金在任何交易日日终，持有的卖出国债期货合约价值不得超过基金持有的债券总市值的</w:t>
      </w:r>
      <w:r w:rsidRPr="00AD2C2A">
        <w:rPr>
          <w:rFonts w:ascii="宋体" w:hAnsi="宋体"/>
          <w:bCs/>
          <w:sz w:val="24"/>
          <w:szCs w:val="24"/>
        </w:rPr>
        <w:t>30%</w:t>
      </w:r>
      <w:r w:rsidRPr="00AD2C2A">
        <w:rPr>
          <w:rFonts w:ascii="宋体" w:hAnsi="宋体" w:hint="eastAsia"/>
          <w:bCs/>
          <w:sz w:val="24"/>
          <w:szCs w:val="24"/>
        </w:rPr>
        <w:t>；本基金在任何交易日内交易（不包括平仓）的国债期货合约的成交金额不得超过上一交易日基金资产净值的</w:t>
      </w:r>
      <w:r w:rsidRPr="00AD2C2A">
        <w:rPr>
          <w:rFonts w:ascii="宋体" w:hAnsi="宋体"/>
          <w:bCs/>
          <w:sz w:val="24"/>
          <w:szCs w:val="24"/>
        </w:rPr>
        <w:t>30%</w:t>
      </w:r>
      <w:r w:rsidRPr="00AD2C2A">
        <w:rPr>
          <w:rFonts w:ascii="宋体" w:hAnsi="宋体" w:hint="eastAsia"/>
          <w:bCs/>
          <w:sz w:val="24"/>
          <w:szCs w:val="24"/>
        </w:rPr>
        <w:t>；本基金所持有的债券（不含到期日在一年以内的政府债券）市值和买入、卖出国债期货合约价值，合计（轧差计算）应当符合基金合同关于债券投资比例的有关约定；</w:t>
      </w:r>
    </w:p>
    <w:p w14:paraId="12811AF9"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w:t>
      </w:r>
      <w:r w:rsidRPr="00AD2C2A">
        <w:rPr>
          <w:rFonts w:ascii="宋体" w:hAnsi="宋体"/>
          <w:bCs/>
          <w:sz w:val="24"/>
          <w:szCs w:val="24"/>
        </w:rPr>
        <w:t>6</w:t>
      </w:r>
      <w:r w:rsidRPr="00AD2C2A">
        <w:rPr>
          <w:rFonts w:ascii="宋体" w:hAnsi="宋体" w:hint="eastAsia"/>
          <w:bCs/>
          <w:sz w:val="24"/>
          <w:szCs w:val="24"/>
        </w:rPr>
        <w:t>）本基金参与股指期货或国债期货交易</w:t>
      </w:r>
      <w:r>
        <w:rPr>
          <w:rFonts w:ascii="宋体" w:hAnsi="宋体" w:hint="eastAsia"/>
          <w:bCs/>
          <w:sz w:val="24"/>
          <w:szCs w:val="24"/>
        </w:rPr>
        <w:t>的</w:t>
      </w:r>
      <w:r w:rsidRPr="00AD2C2A">
        <w:rPr>
          <w:rFonts w:ascii="宋体" w:hAnsi="宋体" w:hint="eastAsia"/>
          <w:bCs/>
          <w:sz w:val="24"/>
          <w:szCs w:val="24"/>
        </w:rPr>
        <w:t>，在任何交易日日终，持有的买入国债期货和股指期货合约价值与有价证券市值之和，不得超过基金资产净值的</w:t>
      </w:r>
      <w:r w:rsidRPr="00AD2C2A">
        <w:rPr>
          <w:rFonts w:ascii="宋体" w:hAnsi="宋体"/>
          <w:bCs/>
          <w:sz w:val="24"/>
          <w:szCs w:val="24"/>
        </w:rPr>
        <w:t>100%</w:t>
      </w:r>
      <w:r w:rsidRPr="00AD2C2A">
        <w:rPr>
          <w:rFonts w:ascii="宋体" w:hAnsi="宋体" w:hint="eastAsia"/>
          <w:bCs/>
          <w:sz w:val="24"/>
          <w:szCs w:val="24"/>
        </w:rPr>
        <w:t>，其中，有价证券指股票、目标</w:t>
      </w:r>
      <w:r w:rsidRPr="00AD2C2A">
        <w:rPr>
          <w:rFonts w:ascii="宋体" w:hAnsi="宋体"/>
          <w:bCs/>
          <w:sz w:val="24"/>
          <w:szCs w:val="24"/>
        </w:rPr>
        <w:t>ETF</w:t>
      </w:r>
      <w:r w:rsidRPr="00AD2C2A">
        <w:rPr>
          <w:rFonts w:ascii="宋体" w:hAnsi="宋体" w:hint="eastAsia"/>
          <w:bCs/>
          <w:sz w:val="24"/>
          <w:szCs w:val="24"/>
        </w:rPr>
        <w:t>、债券（不含到期日在一年以内的政府债券）、资产支持证券、买入返售金融资产（不含质押式回购）等；</w:t>
      </w:r>
    </w:p>
    <w:p w14:paraId="7DF4782D"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w:t>
      </w:r>
      <w:r w:rsidRPr="00AD2C2A">
        <w:rPr>
          <w:rFonts w:ascii="宋体" w:hAnsi="宋体"/>
          <w:bCs/>
          <w:sz w:val="24"/>
          <w:szCs w:val="24"/>
        </w:rPr>
        <w:t>7</w:t>
      </w:r>
      <w:r w:rsidRPr="00AD2C2A">
        <w:rPr>
          <w:rFonts w:ascii="宋体" w:hAnsi="宋体" w:hint="eastAsia"/>
          <w:bCs/>
          <w:sz w:val="24"/>
          <w:szCs w:val="24"/>
        </w:rPr>
        <w:t>）基金财产参与股票发行申购，本基金所申报的金额不超过本基金的总资产，本基金所申报的股票数量不超过拟发行股票公司本次发行股票的总量；</w:t>
      </w:r>
    </w:p>
    <w:p w14:paraId="26B35F9E"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w:t>
      </w:r>
      <w:r w:rsidRPr="00AD2C2A">
        <w:rPr>
          <w:rFonts w:ascii="宋体" w:hAnsi="宋体"/>
          <w:bCs/>
          <w:sz w:val="24"/>
          <w:szCs w:val="24"/>
        </w:rPr>
        <w:t>8</w:t>
      </w:r>
      <w:r w:rsidRPr="00AD2C2A">
        <w:rPr>
          <w:rFonts w:ascii="宋体" w:hAnsi="宋体" w:hint="eastAsia"/>
          <w:bCs/>
          <w:sz w:val="24"/>
          <w:szCs w:val="24"/>
        </w:rPr>
        <w:t>）本基金资产总值不超过基金资产净值的</w:t>
      </w:r>
      <w:r w:rsidRPr="00AD2C2A">
        <w:rPr>
          <w:rFonts w:ascii="宋体" w:hAnsi="宋体"/>
          <w:bCs/>
          <w:sz w:val="24"/>
          <w:szCs w:val="24"/>
        </w:rPr>
        <w:t>140%</w:t>
      </w:r>
      <w:r w:rsidRPr="00AD2C2A">
        <w:rPr>
          <w:rFonts w:ascii="宋体" w:hAnsi="宋体" w:hint="eastAsia"/>
          <w:bCs/>
          <w:sz w:val="24"/>
          <w:szCs w:val="24"/>
        </w:rPr>
        <w:t>；</w:t>
      </w:r>
    </w:p>
    <w:p w14:paraId="4A68013F"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w:t>
      </w:r>
      <w:r w:rsidRPr="00AD2C2A">
        <w:rPr>
          <w:rFonts w:ascii="宋体" w:hAnsi="宋体"/>
          <w:bCs/>
          <w:sz w:val="24"/>
          <w:szCs w:val="24"/>
        </w:rPr>
        <w:t>9</w:t>
      </w:r>
      <w:r w:rsidRPr="00AD2C2A">
        <w:rPr>
          <w:rFonts w:ascii="宋体" w:hAnsi="宋体" w:hint="eastAsia"/>
          <w:bCs/>
          <w:sz w:val="24"/>
          <w:szCs w:val="24"/>
        </w:rPr>
        <w:t>）本基金主动投资于流动性受限资产的市值合计不得超过基金资产净值</w:t>
      </w:r>
      <w:r w:rsidRPr="00AD2C2A">
        <w:rPr>
          <w:rFonts w:ascii="宋体" w:hAnsi="宋体" w:hint="eastAsia"/>
          <w:bCs/>
          <w:sz w:val="24"/>
          <w:szCs w:val="24"/>
        </w:rPr>
        <w:lastRenderedPageBreak/>
        <w:t>的</w:t>
      </w:r>
      <w:r w:rsidRPr="00AD2C2A">
        <w:rPr>
          <w:rFonts w:ascii="宋体" w:hAnsi="宋体"/>
          <w:bCs/>
          <w:sz w:val="24"/>
          <w:szCs w:val="24"/>
        </w:rPr>
        <w:t>15%</w:t>
      </w:r>
      <w:r w:rsidRPr="00AD2C2A">
        <w:rPr>
          <w:rFonts w:ascii="宋体" w:hAnsi="宋体" w:hint="eastAsia"/>
          <w:bCs/>
          <w:sz w:val="24"/>
          <w:szCs w:val="24"/>
        </w:rPr>
        <w:t>；因证券市场波动、上市公司股票停牌、基金规模变动等基金管理人之外的因素致使基金不符合该比例限制的，基金管理人不得主动新增流动性受限资产的投资；</w:t>
      </w:r>
    </w:p>
    <w:p w14:paraId="1304A75B"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w:t>
      </w:r>
      <w:r w:rsidRPr="00AD2C2A">
        <w:rPr>
          <w:rFonts w:ascii="宋体" w:hAnsi="宋体"/>
          <w:bCs/>
          <w:sz w:val="24"/>
          <w:szCs w:val="24"/>
        </w:rPr>
        <w:t>10</w:t>
      </w:r>
      <w:r w:rsidRPr="00AD2C2A">
        <w:rPr>
          <w:rFonts w:ascii="宋体" w:hAnsi="宋体" w:hint="eastAsia"/>
          <w:bCs/>
          <w:sz w:val="24"/>
          <w:szCs w:val="24"/>
        </w:rPr>
        <w:t>）本基金与私募类</w:t>
      </w:r>
      <w:proofErr w:type="gramStart"/>
      <w:r w:rsidRPr="00AD2C2A">
        <w:rPr>
          <w:rFonts w:ascii="宋体" w:hAnsi="宋体" w:hint="eastAsia"/>
          <w:bCs/>
          <w:sz w:val="24"/>
          <w:szCs w:val="24"/>
        </w:rPr>
        <w:t>证券资管产品</w:t>
      </w:r>
      <w:proofErr w:type="gramEnd"/>
      <w:r w:rsidRPr="00AD2C2A">
        <w:rPr>
          <w:rFonts w:ascii="宋体" w:hAnsi="宋体" w:hint="eastAsia"/>
          <w:bCs/>
          <w:sz w:val="24"/>
          <w:szCs w:val="24"/>
        </w:rPr>
        <w:t>及中国证监会认定的其他主体为交易对手开展逆回购交易的，可接受质押品的资质要求应当与基金合同约定的投资范围保持一致；</w:t>
      </w:r>
    </w:p>
    <w:p w14:paraId="3494FCE4"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w:t>
      </w:r>
      <w:r w:rsidRPr="00AD2C2A">
        <w:rPr>
          <w:rFonts w:ascii="宋体" w:hAnsi="宋体"/>
          <w:bCs/>
          <w:sz w:val="24"/>
          <w:szCs w:val="24"/>
        </w:rPr>
        <w:t>11</w:t>
      </w:r>
      <w:r w:rsidRPr="00AD2C2A">
        <w:rPr>
          <w:rFonts w:ascii="宋体" w:hAnsi="宋体" w:hint="eastAsia"/>
          <w:bCs/>
          <w:sz w:val="24"/>
          <w:szCs w:val="24"/>
        </w:rPr>
        <w:t>）本基金参与融资的，每个交易日日终，本基金持有的融资买入股票与其他有价证券市值之和，不得超过基金资产净值的</w:t>
      </w:r>
      <w:r w:rsidRPr="00AD2C2A">
        <w:rPr>
          <w:rFonts w:ascii="宋体" w:hAnsi="宋体"/>
          <w:bCs/>
          <w:sz w:val="24"/>
          <w:szCs w:val="24"/>
        </w:rPr>
        <w:t>95%</w:t>
      </w:r>
      <w:r w:rsidRPr="00AD2C2A">
        <w:rPr>
          <w:rFonts w:ascii="宋体" w:hAnsi="宋体" w:hint="eastAsia"/>
          <w:bCs/>
          <w:sz w:val="24"/>
          <w:szCs w:val="24"/>
        </w:rPr>
        <w:t>；</w:t>
      </w:r>
    </w:p>
    <w:p w14:paraId="52B67E75"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w:t>
      </w:r>
      <w:r w:rsidRPr="00AD2C2A">
        <w:rPr>
          <w:rFonts w:ascii="宋体" w:hAnsi="宋体"/>
          <w:bCs/>
          <w:sz w:val="24"/>
          <w:szCs w:val="24"/>
        </w:rPr>
        <w:t>12</w:t>
      </w:r>
      <w:r w:rsidRPr="00AD2C2A">
        <w:rPr>
          <w:rFonts w:ascii="宋体" w:hAnsi="宋体" w:hint="eastAsia"/>
          <w:bCs/>
          <w:sz w:val="24"/>
          <w:szCs w:val="24"/>
        </w:rPr>
        <w:t>）本基金参与转融通证券出借业务的，应当符合下列要求：</w:t>
      </w:r>
    </w:p>
    <w:p w14:paraId="3E1E4138"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bCs/>
          <w:sz w:val="24"/>
          <w:szCs w:val="24"/>
        </w:rPr>
        <w:t>1</w:t>
      </w:r>
      <w:r w:rsidRPr="00AD2C2A">
        <w:rPr>
          <w:rFonts w:ascii="宋体" w:hAnsi="宋体" w:hint="eastAsia"/>
          <w:bCs/>
          <w:sz w:val="24"/>
          <w:szCs w:val="24"/>
        </w:rPr>
        <w:t>）参与转融通证券出借业务的资产，不得超过基金资产净值的</w:t>
      </w:r>
      <w:r w:rsidRPr="00AD2C2A">
        <w:rPr>
          <w:rFonts w:ascii="宋体" w:hAnsi="宋体"/>
          <w:bCs/>
          <w:sz w:val="24"/>
          <w:szCs w:val="24"/>
        </w:rPr>
        <w:t>30%</w:t>
      </w:r>
      <w:r w:rsidRPr="00AD2C2A">
        <w:rPr>
          <w:rFonts w:ascii="宋体" w:hAnsi="宋体" w:hint="eastAsia"/>
          <w:bCs/>
          <w:sz w:val="24"/>
          <w:szCs w:val="24"/>
        </w:rPr>
        <w:t>，其中，出借期限在</w:t>
      </w:r>
      <w:r w:rsidRPr="00AD2C2A">
        <w:rPr>
          <w:rFonts w:ascii="宋体" w:hAnsi="宋体"/>
          <w:bCs/>
          <w:sz w:val="24"/>
          <w:szCs w:val="24"/>
        </w:rPr>
        <w:t>10</w:t>
      </w:r>
      <w:r w:rsidRPr="00AD2C2A">
        <w:rPr>
          <w:rFonts w:ascii="宋体" w:hAnsi="宋体" w:hint="eastAsia"/>
          <w:bCs/>
          <w:sz w:val="24"/>
          <w:szCs w:val="24"/>
        </w:rPr>
        <w:t>个交易日以上的出借证券，纳入《流动性风险管理规定》所述流动性受限证券的范围；</w:t>
      </w:r>
    </w:p>
    <w:p w14:paraId="29B8DEB5"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bCs/>
          <w:sz w:val="24"/>
          <w:szCs w:val="24"/>
        </w:rPr>
        <w:t>2</w:t>
      </w:r>
      <w:r w:rsidRPr="00AD2C2A">
        <w:rPr>
          <w:rFonts w:ascii="宋体" w:hAnsi="宋体" w:hint="eastAsia"/>
          <w:bCs/>
          <w:sz w:val="24"/>
          <w:szCs w:val="24"/>
        </w:rPr>
        <w:t>）参与转融通证券出借业务的单只证券不得超过基金持有该证券总量的</w:t>
      </w:r>
      <w:r w:rsidRPr="00AD2C2A">
        <w:rPr>
          <w:rFonts w:ascii="宋体" w:hAnsi="宋体"/>
          <w:bCs/>
          <w:sz w:val="24"/>
          <w:szCs w:val="24"/>
        </w:rPr>
        <w:t>50%</w:t>
      </w:r>
      <w:r w:rsidRPr="00AD2C2A">
        <w:rPr>
          <w:rFonts w:ascii="宋体" w:hAnsi="宋体" w:hint="eastAsia"/>
          <w:bCs/>
          <w:sz w:val="24"/>
          <w:szCs w:val="24"/>
        </w:rPr>
        <w:t>；</w:t>
      </w:r>
    </w:p>
    <w:p w14:paraId="344485AB"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bCs/>
          <w:sz w:val="24"/>
          <w:szCs w:val="24"/>
        </w:rPr>
        <w:t>3</w:t>
      </w:r>
      <w:r w:rsidRPr="00AD2C2A">
        <w:rPr>
          <w:rFonts w:ascii="宋体" w:hAnsi="宋体" w:hint="eastAsia"/>
          <w:bCs/>
          <w:sz w:val="24"/>
          <w:szCs w:val="24"/>
        </w:rPr>
        <w:t>）最近</w:t>
      </w:r>
      <w:r w:rsidRPr="00AD2C2A">
        <w:rPr>
          <w:rFonts w:ascii="宋体" w:hAnsi="宋体"/>
          <w:bCs/>
          <w:sz w:val="24"/>
          <w:szCs w:val="24"/>
        </w:rPr>
        <w:t>6</w:t>
      </w:r>
      <w:r w:rsidRPr="00AD2C2A">
        <w:rPr>
          <w:rFonts w:ascii="宋体" w:hAnsi="宋体" w:hint="eastAsia"/>
          <w:bCs/>
          <w:sz w:val="24"/>
          <w:szCs w:val="24"/>
        </w:rPr>
        <w:t>个月内日均基金资产净值不得低于</w:t>
      </w:r>
      <w:r w:rsidRPr="00AD2C2A">
        <w:rPr>
          <w:rFonts w:ascii="宋体" w:hAnsi="宋体"/>
          <w:bCs/>
          <w:sz w:val="24"/>
          <w:szCs w:val="24"/>
        </w:rPr>
        <w:t>2</w:t>
      </w:r>
      <w:r w:rsidRPr="00AD2C2A">
        <w:rPr>
          <w:rFonts w:ascii="宋体" w:hAnsi="宋体" w:hint="eastAsia"/>
          <w:bCs/>
          <w:sz w:val="24"/>
          <w:szCs w:val="24"/>
        </w:rPr>
        <w:t>亿元；</w:t>
      </w:r>
    </w:p>
    <w:p w14:paraId="43C8C8A3"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bCs/>
          <w:sz w:val="24"/>
          <w:szCs w:val="24"/>
        </w:rPr>
        <w:t>4</w:t>
      </w:r>
      <w:r w:rsidRPr="00AD2C2A">
        <w:rPr>
          <w:rFonts w:ascii="宋体" w:hAnsi="宋体" w:hint="eastAsia"/>
          <w:bCs/>
          <w:sz w:val="24"/>
          <w:szCs w:val="24"/>
        </w:rPr>
        <w:t>）证券出借的平均剩余期限不得超过</w:t>
      </w:r>
      <w:r w:rsidRPr="00AD2C2A">
        <w:rPr>
          <w:rFonts w:ascii="宋体" w:hAnsi="宋体"/>
          <w:bCs/>
          <w:sz w:val="24"/>
          <w:szCs w:val="24"/>
        </w:rPr>
        <w:t>30</w:t>
      </w:r>
      <w:r w:rsidRPr="00AD2C2A">
        <w:rPr>
          <w:rFonts w:ascii="宋体" w:hAnsi="宋体" w:hint="eastAsia"/>
          <w:bCs/>
          <w:sz w:val="24"/>
          <w:szCs w:val="24"/>
        </w:rPr>
        <w:t>天，平均剩余期限按照市值加权平均计算；</w:t>
      </w:r>
    </w:p>
    <w:p w14:paraId="08C5F50D"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w:t>
      </w:r>
      <w:r w:rsidRPr="00AD2C2A">
        <w:rPr>
          <w:rFonts w:ascii="宋体" w:hAnsi="宋体"/>
          <w:bCs/>
          <w:sz w:val="24"/>
          <w:szCs w:val="24"/>
        </w:rPr>
        <w:t>13</w:t>
      </w:r>
      <w:r w:rsidRPr="00AD2C2A">
        <w:rPr>
          <w:rFonts w:ascii="宋体" w:hAnsi="宋体" w:hint="eastAsia"/>
          <w:bCs/>
          <w:sz w:val="24"/>
          <w:szCs w:val="24"/>
        </w:rPr>
        <w:t>）本基金投资于同一原始权益人的各类资产支持证券的比例，不得超过基金资产净值的</w:t>
      </w:r>
      <w:r w:rsidRPr="00AD2C2A">
        <w:rPr>
          <w:rFonts w:ascii="宋体" w:hAnsi="宋体"/>
          <w:bCs/>
          <w:sz w:val="24"/>
          <w:szCs w:val="24"/>
        </w:rPr>
        <w:t>10%</w:t>
      </w:r>
      <w:r w:rsidRPr="00AD2C2A">
        <w:rPr>
          <w:rFonts w:ascii="宋体" w:hAnsi="宋体" w:hint="eastAsia"/>
          <w:bCs/>
          <w:sz w:val="24"/>
          <w:szCs w:val="24"/>
        </w:rPr>
        <w:t>；本基金持有的全部资产支持证券，其市值不得超过基金资产净值的</w:t>
      </w:r>
      <w:r w:rsidRPr="00AD2C2A">
        <w:rPr>
          <w:rFonts w:ascii="宋体" w:hAnsi="宋体"/>
          <w:bCs/>
          <w:sz w:val="24"/>
          <w:szCs w:val="24"/>
        </w:rPr>
        <w:t>20%</w:t>
      </w:r>
      <w:r w:rsidRPr="00AD2C2A">
        <w:rPr>
          <w:rFonts w:ascii="宋体" w:hAnsi="宋体" w:hint="eastAsia"/>
          <w:bCs/>
          <w:sz w:val="24"/>
          <w:szCs w:val="24"/>
        </w:rPr>
        <w:t>，中国证监会规定的特殊品种除外；</w:t>
      </w:r>
    </w:p>
    <w:p w14:paraId="2D56B36A"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w:t>
      </w:r>
      <w:r w:rsidRPr="00AD2C2A">
        <w:rPr>
          <w:rFonts w:ascii="宋体" w:hAnsi="宋体"/>
          <w:bCs/>
          <w:sz w:val="24"/>
          <w:szCs w:val="24"/>
        </w:rPr>
        <w:t>14</w:t>
      </w:r>
      <w:r w:rsidRPr="00AD2C2A">
        <w:rPr>
          <w:rFonts w:ascii="宋体" w:hAnsi="宋体" w:hint="eastAsia"/>
          <w:bCs/>
          <w:sz w:val="24"/>
          <w:szCs w:val="24"/>
        </w:rPr>
        <w:t>）本基金持有的同一（指同一信用级别）资产支持证券的比例，不得超过该资产支持证券规模的</w:t>
      </w:r>
      <w:r w:rsidRPr="00AD2C2A">
        <w:rPr>
          <w:rFonts w:ascii="宋体" w:hAnsi="宋体"/>
          <w:bCs/>
          <w:sz w:val="24"/>
          <w:szCs w:val="24"/>
        </w:rPr>
        <w:t>10%</w:t>
      </w:r>
      <w:r w:rsidRPr="00AD2C2A">
        <w:rPr>
          <w:rFonts w:ascii="宋体" w:hAnsi="宋体" w:hint="eastAsia"/>
          <w:bCs/>
          <w:sz w:val="24"/>
          <w:szCs w:val="24"/>
        </w:rPr>
        <w:t>；本基金管理人管理的全部基金投资于同一原始权益人的各类资产支持证券，不得超过其各类资产支持证券合计规模的</w:t>
      </w:r>
      <w:r w:rsidRPr="00AD2C2A">
        <w:rPr>
          <w:rFonts w:ascii="宋体" w:hAnsi="宋体"/>
          <w:bCs/>
          <w:sz w:val="24"/>
          <w:szCs w:val="24"/>
        </w:rPr>
        <w:t>10%</w:t>
      </w:r>
      <w:r w:rsidRPr="00AD2C2A">
        <w:rPr>
          <w:rFonts w:ascii="宋体" w:hAnsi="宋体" w:hint="eastAsia"/>
          <w:bCs/>
          <w:sz w:val="24"/>
          <w:szCs w:val="24"/>
        </w:rPr>
        <w:t>；</w:t>
      </w:r>
    </w:p>
    <w:p w14:paraId="722DAC1E"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w:t>
      </w:r>
      <w:r w:rsidRPr="00AD2C2A">
        <w:rPr>
          <w:rFonts w:ascii="宋体" w:hAnsi="宋体"/>
          <w:bCs/>
          <w:sz w:val="24"/>
          <w:szCs w:val="24"/>
        </w:rPr>
        <w:t>15</w:t>
      </w:r>
      <w:r w:rsidRPr="00AD2C2A">
        <w:rPr>
          <w:rFonts w:ascii="宋体" w:hAnsi="宋体" w:hint="eastAsia"/>
          <w:bCs/>
          <w:sz w:val="24"/>
          <w:szCs w:val="24"/>
        </w:rPr>
        <w:t>）本基金应投资于信用级别评级为</w:t>
      </w:r>
      <w:r w:rsidRPr="00AD2C2A">
        <w:rPr>
          <w:rFonts w:ascii="宋体" w:hAnsi="宋体"/>
          <w:bCs/>
          <w:sz w:val="24"/>
          <w:szCs w:val="24"/>
        </w:rPr>
        <w:t>BBB</w:t>
      </w:r>
      <w:r w:rsidRPr="00AD2C2A">
        <w:rPr>
          <w:rFonts w:ascii="宋体" w:hAnsi="宋体" w:hint="eastAsia"/>
          <w:bCs/>
          <w:sz w:val="24"/>
          <w:szCs w:val="24"/>
        </w:rPr>
        <w:t>以上（含</w:t>
      </w:r>
      <w:r w:rsidRPr="00AD2C2A">
        <w:rPr>
          <w:rFonts w:ascii="宋体" w:hAnsi="宋体"/>
          <w:bCs/>
          <w:sz w:val="24"/>
          <w:szCs w:val="24"/>
        </w:rPr>
        <w:t>BBB</w:t>
      </w:r>
      <w:r w:rsidRPr="00AD2C2A">
        <w:rPr>
          <w:rFonts w:ascii="宋体" w:hAnsi="宋体" w:hint="eastAsia"/>
          <w:bCs/>
          <w:sz w:val="24"/>
          <w:szCs w:val="24"/>
        </w:rPr>
        <w:t>）的资产支持证券。基金持有资产支持证券期间，如果其信用等级下降、不再符合投资标准，应在评级报告发布之日起</w:t>
      </w:r>
      <w:r w:rsidRPr="00AD2C2A">
        <w:rPr>
          <w:rFonts w:ascii="宋体" w:hAnsi="宋体"/>
          <w:bCs/>
          <w:sz w:val="24"/>
          <w:szCs w:val="24"/>
        </w:rPr>
        <w:t>3</w:t>
      </w:r>
      <w:r w:rsidRPr="00AD2C2A">
        <w:rPr>
          <w:rFonts w:ascii="宋体" w:hAnsi="宋体" w:hint="eastAsia"/>
          <w:bCs/>
          <w:sz w:val="24"/>
          <w:szCs w:val="24"/>
        </w:rPr>
        <w:t>个月内予以全部卖出；</w:t>
      </w:r>
    </w:p>
    <w:p w14:paraId="5D30E718"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w:t>
      </w:r>
      <w:r w:rsidRPr="00AD2C2A">
        <w:rPr>
          <w:rFonts w:ascii="宋体" w:hAnsi="宋体"/>
          <w:bCs/>
          <w:sz w:val="24"/>
          <w:szCs w:val="24"/>
        </w:rPr>
        <w:t>16</w:t>
      </w:r>
      <w:r w:rsidRPr="00AD2C2A">
        <w:rPr>
          <w:rFonts w:ascii="宋体" w:hAnsi="宋体" w:hint="eastAsia"/>
          <w:bCs/>
          <w:sz w:val="24"/>
          <w:szCs w:val="24"/>
        </w:rPr>
        <w:t>）本基金投资存托凭证的比例限制依照境内上市交易的股票执行，与境内上市交易的股票合并计算；</w:t>
      </w:r>
    </w:p>
    <w:p w14:paraId="381E68A6"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w:t>
      </w:r>
      <w:r w:rsidRPr="00AD2C2A">
        <w:rPr>
          <w:rFonts w:ascii="宋体" w:hAnsi="宋体"/>
          <w:bCs/>
          <w:sz w:val="24"/>
          <w:szCs w:val="24"/>
        </w:rPr>
        <w:t>17</w:t>
      </w:r>
      <w:r w:rsidRPr="00AD2C2A">
        <w:rPr>
          <w:rFonts w:ascii="宋体" w:hAnsi="宋体" w:hint="eastAsia"/>
          <w:bCs/>
          <w:sz w:val="24"/>
          <w:szCs w:val="24"/>
        </w:rPr>
        <w:t>）法律法规及中国证监会规定的和《基金合同》约定的其他投资限制。</w:t>
      </w:r>
    </w:p>
    <w:p w14:paraId="01A1757C"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除上述（</w:t>
      </w:r>
      <w:r w:rsidRPr="00AD2C2A">
        <w:rPr>
          <w:rFonts w:ascii="宋体" w:hAnsi="宋体"/>
          <w:bCs/>
          <w:sz w:val="24"/>
          <w:szCs w:val="24"/>
        </w:rPr>
        <w:t>1</w:t>
      </w:r>
      <w:r w:rsidRPr="00AD2C2A">
        <w:rPr>
          <w:rFonts w:ascii="宋体" w:hAnsi="宋体" w:hint="eastAsia"/>
          <w:bCs/>
          <w:sz w:val="24"/>
          <w:szCs w:val="24"/>
        </w:rPr>
        <w:t>）、（</w:t>
      </w:r>
      <w:r w:rsidRPr="00AD2C2A">
        <w:rPr>
          <w:rFonts w:ascii="宋体" w:hAnsi="宋体"/>
          <w:bCs/>
          <w:sz w:val="24"/>
          <w:szCs w:val="24"/>
        </w:rPr>
        <w:t>2</w:t>
      </w:r>
      <w:r w:rsidRPr="00AD2C2A">
        <w:rPr>
          <w:rFonts w:ascii="宋体" w:hAnsi="宋体" w:hint="eastAsia"/>
          <w:bCs/>
          <w:sz w:val="24"/>
          <w:szCs w:val="24"/>
        </w:rPr>
        <w:t>）、（</w:t>
      </w:r>
      <w:r w:rsidRPr="00AD2C2A">
        <w:rPr>
          <w:rFonts w:ascii="宋体" w:hAnsi="宋体"/>
          <w:bCs/>
          <w:sz w:val="24"/>
          <w:szCs w:val="24"/>
        </w:rPr>
        <w:t>9</w:t>
      </w:r>
      <w:r w:rsidRPr="00AD2C2A">
        <w:rPr>
          <w:rFonts w:ascii="宋体" w:hAnsi="宋体" w:hint="eastAsia"/>
          <w:bCs/>
          <w:sz w:val="24"/>
          <w:szCs w:val="24"/>
        </w:rPr>
        <w:t>）、（</w:t>
      </w:r>
      <w:r w:rsidRPr="00AD2C2A">
        <w:rPr>
          <w:rFonts w:ascii="宋体" w:hAnsi="宋体"/>
          <w:bCs/>
          <w:sz w:val="24"/>
          <w:szCs w:val="24"/>
        </w:rPr>
        <w:t>10</w:t>
      </w:r>
      <w:r w:rsidRPr="00AD2C2A">
        <w:rPr>
          <w:rFonts w:ascii="宋体" w:hAnsi="宋体" w:hint="eastAsia"/>
          <w:bCs/>
          <w:sz w:val="24"/>
          <w:szCs w:val="24"/>
        </w:rPr>
        <w:t>）、（</w:t>
      </w:r>
      <w:r w:rsidRPr="00AD2C2A">
        <w:rPr>
          <w:rFonts w:ascii="宋体" w:hAnsi="宋体"/>
          <w:bCs/>
          <w:sz w:val="24"/>
          <w:szCs w:val="24"/>
        </w:rPr>
        <w:t>12</w:t>
      </w:r>
      <w:r w:rsidRPr="00AD2C2A">
        <w:rPr>
          <w:rFonts w:ascii="宋体" w:hAnsi="宋体" w:hint="eastAsia"/>
          <w:bCs/>
          <w:sz w:val="24"/>
          <w:szCs w:val="24"/>
        </w:rPr>
        <w:t>）、（</w:t>
      </w:r>
      <w:r w:rsidRPr="00AD2C2A">
        <w:rPr>
          <w:rFonts w:ascii="宋体" w:hAnsi="宋体"/>
          <w:bCs/>
          <w:sz w:val="24"/>
          <w:szCs w:val="24"/>
        </w:rPr>
        <w:t>15</w:t>
      </w:r>
      <w:r w:rsidRPr="00AD2C2A">
        <w:rPr>
          <w:rFonts w:ascii="宋体" w:hAnsi="宋体" w:hint="eastAsia"/>
          <w:bCs/>
          <w:sz w:val="24"/>
          <w:szCs w:val="24"/>
        </w:rPr>
        <w:t>）项情形之外，因证券</w:t>
      </w:r>
      <w:r w:rsidRPr="00AD2C2A">
        <w:rPr>
          <w:rFonts w:ascii="宋体" w:hAnsi="宋体" w:hint="eastAsia"/>
          <w:bCs/>
          <w:sz w:val="24"/>
          <w:szCs w:val="24"/>
        </w:rPr>
        <w:lastRenderedPageBreak/>
        <w:t>市场及期货市场波动、证券发行人合并、基金规模变动、标的指数成份股调整、标的指数成份股流动性限制、目标</w:t>
      </w:r>
      <w:r w:rsidRPr="00AD2C2A">
        <w:rPr>
          <w:rFonts w:ascii="宋体" w:hAnsi="宋体"/>
          <w:bCs/>
          <w:sz w:val="24"/>
          <w:szCs w:val="24"/>
        </w:rPr>
        <w:t>ETF</w:t>
      </w:r>
      <w:r w:rsidRPr="00AD2C2A">
        <w:rPr>
          <w:rFonts w:ascii="宋体" w:hAnsi="宋体" w:hint="eastAsia"/>
          <w:bCs/>
          <w:sz w:val="24"/>
          <w:szCs w:val="24"/>
        </w:rPr>
        <w:t>暂停申购、赎回或二级市场交易停牌等基金管理人之外的因素致使基金投资比例不符合上述规定投资比例的，基金管理人应当在</w:t>
      </w:r>
      <w:r w:rsidRPr="00AD2C2A">
        <w:rPr>
          <w:rFonts w:ascii="宋体" w:hAnsi="宋体"/>
          <w:bCs/>
          <w:sz w:val="24"/>
          <w:szCs w:val="24"/>
        </w:rPr>
        <w:t>10</w:t>
      </w:r>
      <w:r w:rsidRPr="00AD2C2A">
        <w:rPr>
          <w:rFonts w:ascii="宋体" w:hAnsi="宋体" w:hint="eastAsia"/>
          <w:bCs/>
          <w:sz w:val="24"/>
          <w:szCs w:val="24"/>
        </w:rPr>
        <w:t>个交易日内进行调整，但中国证监会规定的特殊情形除外。因证券市场及期货市场波动、证券发行人合并、基金规模变动、标的指数成份股调整、标的指数成份股流动性限制、目标</w:t>
      </w:r>
      <w:r w:rsidRPr="00AD2C2A">
        <w:rPr>
          <w:rFonts w:ascii="宋体" w:hAnsi="宋体"/>
          <w:bCs/>
          <w:sz w:val="24"/>
          <w:szCs w:val="24"/>
        </w:rPr>
        <w:t>ETF</w:t>
      </w:r>
      <w:r w:rsidRPr="00AD2C2A">
        <w:rPr>
          <w:rFonts w:ascii="宋体" w:hAnsi="宋体" w:hint="eastAsia"/>
          <w:bCs/>
          <w:sz w:val="24"/>
          <w:szCs w:val="24"/>
        </w:rPr>
        <w:t>暂停申购、赎回或二级市场交易停牌等基金管理人之外的因素致使基金持有的目标</w:t>
      </w:r>
      <w:r w:rsidRPr="00AD2C2A">
        <w:rPr>
          <w:rFonts w:ascii="宋体" w:hAnsi="宋体"/>
          <w:bCs/>
          <w:sz w:val="24"/>
          <w:szCs w:val="24"/>
        </w:rPr>
        <w:t>ETF</w:t>
      </w:r>
      <w:r w:rsidRPr="00AD2C2A">
        <w:rPr>
          <w:rFonts w:ascii="宋体" w:hAnsi="宋体" w:hint="eastAsia"/>
          <w:bCs/>
          <w:sz w:val="24"/>
          <w:szCs w:val="24"/>
        </w:rPr>
        <w:t>的比例低于基金资产净值的</w:t>
      </w:r>
      <w:r w:rsidRPr="00AD2C2A">
        <w:rPr>
          <w:rFonts w:ascii="宋体" w:hAnsi="宋体"/>
          <w:bCs/>
          <w:sz w:val="24"/>
          <w:szCs w:val="24"/>
        </w:rPr>
        <w:t>90%</w:t>
      </w:r>
      <w:r w:rsidRPr="00AD2C2A">
        <w:rPr>
          <w:rFonts w:ascii="宋体" w:hAnsi="宋体" w:hint="eastAsia"/>
          <w:bCs/>
          <w:sz w:val="24"/>
          <w:szCs w:val="24"/>
        </w:rPr>
        <w:t>的，基金管理人应当在</w:t>
      </w:r>
      <w:r w:rsidRPr="00AD2C2A">
        <w:rPr>
          <w:rFonts w:ascii="宋体" w:hAnsi="宋体"/>
          <w:bCs/>
          <w:sz w:val="24"/>
          <w:szCs w:val="24"/>
        </w:rPr>
        <w:t>20</w:t>
      </w:r>
      <w:r w:rsidRPr="00AD2C2A">
        <w:rPr>
          <w:rFonts w:ascii="宋体" w:hAnsi="宋体" w:hint="eastAsia"/>
          <w:bCs/>
          <w:sz w:val="24"/>
          <w:szCs w:val="24"/>
        </w:rPr>
        <w:t>个交易日内进行调整，但中国证监会规定的特殊情形除外。法律法规另有规定的，从其规定。</w:t>
      </w:r>
    </w:p>
    <w:p w14:paraId="2A24CCF9"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因证券市场波动、上市公司合并、基金规模变动等基金管理人之外的因素致使基金投资不符合上述第（</w:t>
      </w:r>
      <w:r w:rsidRPr="00AD2C2A">
        <w:rPr>
          <w:rFonts w:ascii="宋体" w:hAnsi="宋体"/>
          <w:bCs/>
          <w:sz w:val="24"/>
          <w:szCs w:val="24"/>
        </w:rPr>
        <w:t>12</w:t>
      </w:r>
      <w:r w:rsidRPr="00AD2C2A">
        <w:rPr>
          <w:rFonts w:ascii="宋体" w:hAnsi="宋体" w:hint="eastAsia"/>
          <w:bCs/>
          <w:sz w:val="24"/>
          <w:szCs w:val="24"/>
        </w:rPr>
        <w:t>）项的，基金管理人不得新增出借业务。</w:t>
      </w:r>
    </w:p>
    <w:p w14:paraId="60D82567"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基金管理人应当自基金合同生效之日起</w:t>
      </w:r>
      <w:r w:rsidRPr="00AD2C2A">
        <w:rPr>
          <w:rFonts w:ascii="宋体" w:hAnsi="宋体"/>
          <w:bCs/>
          <w:sz w:val="24"/>
          <w:szCs w:val="24"/>
        </w:rPr>
        <w:t>6</w:t>
      </w:r>
      <w:r w:rsidRPr="00AD2C2A">
        <w:rPr>
          <w:rFonts w:ascii="宋体" w:hAnsi="宋体" w:hint="eastAsia"/>
          <w:bCs/>
          <w:sz w:val="24"/>
          <w:szCs w:val="24"/>
        </w:rPr>
        <w:t>个月内使基金的投资组合比例符合基金合同的有关约定。在上述期间内，本基金的投资范围、投资策略应当符合基金合同的约定。基金托管人对基金的投资的监督与检查自基金合同生效之日起开始。</w:t>
      </w:r>
    </w:p>
    <w:p w14:paraId="5F1FC78E" w14:textId="77777777" w:rsidR="00166BB1" w:rsidRPr="00AD2C2A" w:rsidRDefault="00166BB1" w:rsidP="00AD2C2A">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如果法律法规</w:t>
      </w:r>
      <w:r>
        <w:rPr>
          <w:rFonts w:ascii="宋体" w:hAnsi="宋体" w:hint="eastAsia"/>
          <w:bCs/>
          <w:sz w:val="24"/>
          <w:szCs w:val="24"/>
        </w:rPr>
        <w:t>或监管部门</w:t>
      </w:r>
      <w:r w:rsidRPr="00AD2C2A">
        <w:rPr>
          <w:rFonts w:ascii="宋体" w:hAnsi="宋体" w:hint="eastAsia"/>
          <w:bCs/>
          <w:sz w:val="24"/>
          <w:szCs w:val="24"/>
        </w:rPr>
        <w:t>对上述投资组合比例限制进行变更的，基金管理人在履行适当程序后，可相应调整投资比例限制规定或按变更后的规定执行。法律法规或监管部门取消上述限制，如适用于本基金，基金管理人在履行适当程序后，则本基金投资不再受相关限制。</w:t>
      </w:r>
    </w:p>
    <w:p w14:paraId="613780BB" w14:textId="574C1B56" w:rsidR="00166BB1" w:rsidRDefault="00B4248D">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sidR="00166BB1">
        <w:rPr>
          <w:rFonts w:ascii="宋体" w:hAnsi="宋体" w:hint="eastAsia"/>
          <w:bCs/>
          <w:sz w:val="24"/>
          <w:szCs w:val="24"/>
        </w:rPr>
        <w:t>禁止行为</w:t>
      </w:r>
    </w:p>
    <w:p w14:paraId="2952603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为维护基金份额持有人的合法权益，基金财产不得用于下列投资或者活动：</w:t>
      </w:r>
    </w:p>
    <w:p w14:paraId="58423FD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（1）承销证券；</w:t>
      </w:r>
    </w:p>
    <w:p w14:paraId="009768A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（2）违反规定向他人贷款或者提供担保；</w:t>
      </w:r>
    </w:p>
    <w:p w14:paraId="4B97ABA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（3）从事承担无限责任的投资；</w:t>
      </w:r>
    </w:p>
    <w:p w14:paraId="14A2359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（4）买卖</w:t>
      </w:r>
      <w:proofErr w:type="gramStart"/>
      <w:r>
        <w:rPr>
          <w:rFonts w:ascii="宋体" w:hAnsi="宋体" w:hint="eastAsia"/>
          <w:bCs/>
          <w:sz w:val="24"/>
          <w:szCs w:val="24"/>
        </w:rPr>
        <w:t>除目标</w:t>
      </w:r>
      <w:proofErr w:type="gramEnd"/>
      <w:r>
        <w:rPr>
          <w:rFonts w:ascii="宋体" w:hAnsi="宋体" w:hint="eastAsia"/>
          <w:bCs/>
          <w:sz w:val="24"/>
          <w:szCs w:val="24"/>
        </w:rPr>
        <w:t>ETF以外的其他基金份额，但是中国证监会另有规定的除外；</w:t>
      </w:r>
    </w:p>
    <w:p w14:paraId="2DEDA43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（5）向其基金管理人、基金托管人出资；</w:t>
      </w:r>
    </w:p>
    <w:p w14:paraId="10C18FB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（6）从事内幕交易、操纵证券交易价格及其他不正当的证券交易活动；</w:t>
      </w:r>
    </w:p>
    <w:p w14:paraId="6CB3797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（7）法律、行政法规和中国证监会规定禁止的其他活动。</w:t>
      </w:r>
    </w:p>
    <w:p w14:paraId="3C4761C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基金管理人运用基金财产买卖基金管理人、基金托管人及其控股股东、实际</w:t>
      </w:r>
      <w:r>
        <w:rPr>
          <w:rFonts w:ascii="宋体" w:hAnsi="宋体" w:hint="eastAsia"/>
          <w:bCs/>
          <w:sz w:val="24"/>
          <w:szCs w:val="24"/>
        </w:rPr>
        <w:lastRenderedPageBreak/>
        <w:t>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197E2AD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法律、行政法规或监管部门取消或变更上述限制，如适用于本基金，基金管理人在履行适当程序后，则本基金投资不再受相关限制或按变更后的规定执行。</w:t>
      </w:r>
    </w:p>
    <w:p w14:paraId="183D578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六、基金资产净值的计算方法和公告方式</w:t>
      </w:r>
    </w:p>
    <w:p w14:paraId="0453104A"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各类基金份额净值是按照每个估值日闭市后，各类基金份额的基金资产净值分别除以当日该类基金份额的余额数量计算，均精确到0.0001元，小数点后第5位四舍五入。基金管理人可以设立大额赎回情形下的净值精度应急调整机制。国家另有规定的，从其规定。</w:t>
      </w:r>
    </w:p>
    <w:p w14:paraId="01A4963E" w14:textId="77777777" w:rsidR="00166BB1" w:rsidRDefault="00166BB1">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基金管理人于每个估值日计算基金资产净值及各类基金份额净值，经基金托管人复核，并按规定公告。如遇特殊情况，经履行适当程序，可以适当延迟计算或公告</w:t>
      </w:r>
      <w:r>
        <w:rPr>
          <w:rFonts w:ascii="宋体" w:hAnsi="宋体" w:hint="eastAsia"/>
          <w:bCs/>
          <w:sz w:val="24"/>
          <w:szCs w:val="24"/>
        </w:rPr>
        <w:t>。</w:t>
      </w:r>
    </w:p>
    <w:p w14:paraId="2224743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w:t>
      </w:r>
      <w:r w:rsidRPr="00AD2C2A">
        <w:rPr>
          <w:rFonts w:ascii="宋体" w:hAnsi="宋体" w:hint="eastAsia"/>
          <w:bCs/>
          <w:sz w:val="24"/>
          <w:szCs w:val="24"/>
        </w:rPr>
        <w:t>基金管理人</w:t>
      </w:r>
      <w:proofErr w:type="gramStart"/>
      <w:r w:rsidRPr="00AD2C2A">
        <w:rPr>
          <w:rFonts w:ascii="宋体" w:hAnsi="宋体" w:hint="eastAsia"/>
          <w:bCs/>
          <w:sz w:val="24"/>
          <w:szCs w:val="24"/>
        </w:rPr>
        <w:t>应每个</w:t>
      </w:r>
      <w:proofErr w:type="gramEnd"/>
      <w:r w:rsidRPr="00AD2C2A">
        <w:rPr>
          <w:rFonts w:ascii="宋体" w:hAnsi="宋体" w:hint="eastAsia"/>
          <w:bCs/>
          <w:sz w:val="24"/>
          <w:szCs w:val="24"/>
        </w:rPr>
        <w:t>估值日对基金资产估值。但基金管理人根据法律法规或本基金合同的规定暂停估值时除外。基金管理人每个估值日对基金资产估值后，将各</w:t>
      </w:r>
      <w:r>
        <w:rPr>
          <w:rFonts w:ascii="宋体" w:hAnsi="宋体" w:hint="eastAsia"/>
          <w:bCs/>
          <w:sz w:val="24"/>
          <w:szCs w:val="24"/>
        </w:rPr>
        <w:t>类</w:t>
      </w:r>
      <w:r w:rsidRPr="00AD2C2A">
        <w:rPr>
          <w:rFonts w:ascii="宋体" w:hAnsi="宋体" w:hint="eastAsia"/>
          <w:bCs/>
          <w:sz w:val="24"/>
          <w:szCs w:val="24"/>
        </w:rPr>
        <w:t>基金份额净值结果发送基金托管人，经基金托管人复核无误后，由基金管理人按约定对外公布</w:t>
      </w:r>
      <w:r>
        <w:rPr>
          <w:rFonts w:ascii="宋体" w:hAnsi="宋体" w:hint="eastAsia"/>
          <w:bCs/>
          <w:sz w:val="24"/>
          <w:szCs w:val="24"/>
        </w:rPr>
        <w:t>。</w:t>
      </w:r>
    </w:p>
    <w:p w14:paraId="6B8AEB1F" w14:textId="77777777" w:rsidR="00166BB1" w:rsidRPr="00AD2C2A" w:rsidRDefault="00166BB1">
      <w:pPr>
        <w:adjustRightInd w:val="0"/>
        <w:snapToGrid w:val="0"/>
        <w:spacing w:line="360" w:lineRule="auto"/>
        <w:ind w:firstLineChars="200" w:firstLine="480"/>
        <w:rPr>
          <w:rFonts w:ascii="宋体" w:hAnsi="宋体"/>
          <w:bCs/>
          <w:sz w:val="24"/>
          <w:szCs w:val="24"/>
        </w:rPr>
      </w:pPr>
      <w:r w:rsidRPr="00AD2C2A">
        <w:rPr>
          <w:rFonts w:ascii="宋体" w:hAnsi="宋体"/>
          <w:bCs/>
          <w:sz w:val="24"/>
          <w:szCs w:val="24"/>
        </w:rPr>
        <w:t>3</w:t>
      </w:r>
      <w:r w:rsidRPr="00AD2C2A">
        <w:rPr>
          <w:rFonts w:ascii="宋体" w:hAnsi="宋体" w:hint="eastAsia"/>
          <w:bCs/>
          <w:sz w:val="24"/>
          <w:szCs w:val="24"/>
        </w:rPr>
        <w:t>、基金合同生效后，在开始办理基金份额申购或者赎回前，基金管理人应当至少每周在规定网站披露一次各类基金份额的基金份额净值和基金份额累计净值。</w:t>
      </w:r>
    </w:p>
    <w:p w14:paraId="4B6AEFBF" w14:textId="77777777" w:rsidR="00166BB1" w:rsidRPr="00AD2C2A" w:rsidRDefault="00166BB1">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在本基金开始办理基金份额申购或者赎回后，基金管理人应在不晚于每个开放日的次日，通过规定网站、销售机构网站或者营业网点披露开放日的各类基金份额的基金份额净值和基金份额累计净值。</w:t>
      </w:r>
    </w:p>
    <w:p w14:paraId="607C4EC6" w14:textId="77777777" w:rsidR="00166BB1" w:rsidRPr="00AD2C2A" w:rsidRDefault="00166BB1">
      <w:pPr>
        <w:adjustRightInd w:val="0"/>
        <w:snapToGrid w:val="0"/>
        <w:spacing w:line="360" w:lineRule="auto"/>
        <w:ind w:firstLineChars="200" w:firstLine="480"/>
        <w:rPr>
          <w:rFonts w:ascii="宋体" w:hAnsi="宋体"/>
          <w:bCs/>
          <w:sz w:val="24"/>
          <w:szCs w:val="24"/>
        </w:rPr>
      </w:pPr>
      <w:r w:rsidRPr="00AD2C2A">
        <w:rPr>
          <w:rFonts w:ascii="宋体" w:hAnsi="宋体" w:hint="eastAsia"/>
          <w:bCs/>
          <w:sz w:val="24"/>
          <w:szCs w:val="24"/>
        </w:rPr>
        <w:t>基金管理人应当在不晚于半年度和年度最后一日的次日，在规定网站披露半年度和年度最后一日的各类基金份额的基金份额净值和基金份额累计净值。</w:t>
      </w:r>
    </w:p>
    <w:p w14:paraId="1BE6DA5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七、基金合同解除和终止的事由、程序以及基金财产清算方式</w:t>
      </w:r>
    </w:p>
    <w:p w14:paraId="025348B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（一）基金合同的变更</w:t>
      </w:r>
    </w:p>
    <w:p w14:paraId="5018AFA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1、变更基金合同涉及法律法规规定或本基金合同约定应经基金份额持有人大会决议通过的事项的，应召</w:t>
      </w:r>
      <w:proofErr w:type="gramStart"/>
      <w:r>
        <w:rPr>
          <w:rFonts w:ascii="宋体" w:hAnsi="宋体" w:hint="eastAsia"/>
          <w:bCs/>
          <w:sz w:val="24"/>
          <w:szCs w:val="24"/>
        </w:rPr>
        <w:t>开基金</w:t>
      </w:r>
      <w:proofErr w:type="gramEnd"/>
      <w:r>
        <w:rPr>
          <w:rFonts w:ascii="宋体" w:hAnsi="宋体" w:hint="eastAsia"/>
          <w:bCs/>
          <w:sz w:val="24"/>
          <w:szCs w:val="24"/>
        </w:rPr>
        <w:t>份额持有人大会决议通过。对于法律法规规定和基金合同约定可不经基金份额持有人大会决议通过的事项，由基金管理人和基金托管人同意并履行适当程序后变更并公告。</w:t>
      </w:r>
    </w:p>
    <w:p w14:paraId="5E167A9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2、关于基金合同变更的基金份额持有人大会决议自生效后方可执行，</w:t>
      </w:r>
      <w:proofErr w:type="gramStart"/>
      <w:r>
        <w:rPr>
          <w:rFonts w:ascii="宋体" w:hAnsi="宋体" w:hint="eastAsia"/>
          <w:bCs/>
          <w:sz w:val="24"/>
          <w:szCs w:val="24"/>
        </w:rPr>
        <w:t>自决议</w:t>
      </w:r>
      <w:proofErr w:type="gramEnd"/>
      <w:r>
        <w:rPr>
          <w:rFonts w:ascii="宋体" w:hAnsi="宋体" w:hint="eastAsia"/>
          <w:bCs/>
          <w:sz w:val="24"/>
          <w:szCs w:val="24"/>
        </w:rPr>
        <w:t>生效后依照《信息披露办法》的有关规定在规定媒介公告。</w:t>
      </w:r>
      <w:proofErr w:type="gramStart"/>
      <w:r>
        <w:rPr>
          <w:rFonts w:ascii="宋体" w:hAnsi="宋体" w:hint="eastAsia"/>
          <w:bCs/>
          <w:sz w:val="24"/>
          <w:szCs w:val="24"/>
        </w:rPr>
        <w:t>若法律</w:t>
      </w:r>
      <w:proofErr w:type="gramEnd"/>
      <w:r>
        <w:rPr>
          <w:rFonts w:ascii="宋体" w:hAnsi="宋体" w:hint="eastAsia"/>
          <w:bCs/>
          <w:sz w:val="24"/>
          <w:szCs w:val="24"/>
        </w:rPr>
        <w:t>法规发生变化，则以变化后的规定为准。</w:t>
      </w:r>
    </w:p>
    <w:p w14:paraId="1F6A188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（二）基金合同的终止事由</w:t>
      </w:r>
    </w:p>
    <w:p w14:paraId="443B977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有下列情形之一的，经履行相关程序后，基金合同应当终止：</w:t>
      </w:r>
    </w:p>
    <w:p w14:paraId="3D2E47F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1、基金份额持有人大会决定终止的；</w:t>
      </w:r>
    </w:p>
    <w:p w14:paraId="338C584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2、基金管理人、基金托管人职责终止，在6个月内没有新基金管理人、新基金托管人承接的；</w:t>
      </w:r>
    </w:p>
    <w:p w14:paraId="2A236B72" w14:textId="77777777" w:rsidR="00166BB1" w:rsidRDefault="00166BB1">
      <w:pPr>
        <w:adjustRightInd w:val="0"/>
        <w:snapToGrid w:val="0"/>
        <w:spacing w:line="360" w:lineRule="auto"/>
        <w:ind w:firstLineChars="200" w:firstLine="480"/>
        <w:rPr>
          <w:rFonts w:ascii="宋体" w:hAnsi="宋体"/>
          <w:bCs/>
          <w:sz w:val="24"/>
          <w:szCs w:val="24"/>
        </w:rPr>
      </w:pPr>
      <w:r w:rsidRPr="00AD2C2A">
        <w:rPr>
          <w:rFonts w:ascii="宋体" w:hAnsi="宋体"/>
          <w:bCs/>
          <w:sz w:val="24"/>
          <w:szCs w:val="24"/>
        </w:rPr>
        <w:t>3</w:t>
      </w:r>
      <w:r w:rsidRPr="00AD2C2A">
        <w:rPr>
          <w:rFonts w:ascii="宋体" w:hAnsi="宋体" w:hint="eastAsia"/>
          <w:bCs/>
          <w:sz w:val="24"/>
          <w:szCs w:val="24"/>
        </w:rPr>
        <w:t>、</w:t>
      </w:r>
      <w:r>
        <w:rPr>
          <w:rFonts w:ascii="宋体" w:hAnsi="宋体" w:hint="eastAsia"/>
          <w:bCs/>
          <w:sz w:val="24"/>
          <w:szCs w:val="24"/>
        </w:rPr>
        <w:t>基金合同约定的其他情形；</w:t>
      </w:r>
    </w:p>
    <w:p w14:paraId="2BDDAB1D"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4、相关法律法规和中国证监会规定的其他情况。</w:t>
      </w:r>
    </w:p>
    <w:p w14:paraId="71FA41F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（三）基金财产的清算</w:t>
      </w:r>
    </w:p>
    <w:p w14:paraId="28C07C3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1、基金财产清算小组：基金合同终止事由出现后，基金管理人组织基金财产清算小组并在中国证监会的监督下进行基金清算。</w:t>
      </w:r>
    </w:p>
    <w:p w14:paraId="7B691BC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基金财产清算小组组成：基金财产清算小组成员由基金管理人、基金托管人、符合《中华人民共和国证券法》规定的注册会计师、律师以及中国证监会指定的人员组成。基金财产清算小组可以聘用必要的工作人员。</w:t>
      </w:r>
    </w:p>
    <w:p w14:paraId="0A5B48B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3、基金财产清算小组职责：基金财产清算小组负责基金财产的保管、清理、估价、变现和分配。基金财产清算小组可以依法进行必要的民事活动。</w:t>
      </w:r>
    </w:p>
    <w:p w14:paraId="6B01103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4、基金财产清算程序：</w:t>
      </w:r>
    </w:p>
    <w:p w14:paraId="22D7B3E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（1）基金合同终止情形出现时，由基金财产清算小组统一接管基金财产；</w:t>
      </w:r>
    </w:p>
    <w:p w14:paraId="481D2EB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（2）对基金财产和债权债务进行清理和确认；</w:t>
      </w:r>
    </w:p>
    <w:p w14:paraId="2296B445"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（3）对基金财产进行估值和变现；</w:t>
      </w:r>
    </w:p>
    <w:p w14:paraId="0A8E89F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（4）制作清算报告；</w:t>
      </w:r>
    </w:p>
    <w:p w14:paraId="194FACD6"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（5）聘请会计师事务所对清算报告进行外部审计，聘请律师事务所对清算报告出具法律意见书；</w:t>
      </w:r>
    </w:p>
    <w:p w14:paraId="20A65AFF"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（6）将清算报告报中国证监会备案并公告；</w:t>
      </w:r>
    </w:p>
    <w:p w14:paraId="28FDA687"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（7）对基金剩余财产进行分配。</w:t>
      </w:r>
    </w:p>
    <w:p w14:paraId="25EA643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5、基金财产清算的期限为6个月，但因本基金所持证券的流动性受到限制而不能及时变现的，清算期限相应顺延。</w:t>
      </w:r>
    </w:p>
    <w:p w14:paraId="2C140772"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（四）清算费用</w:t>
      </w:r>
    </w:p>
    <w:p w14:paraId="176E7C5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清算费用是指基金财产清算小组在进行基金清算过程中发生的所有合理费用，清算费用由基金财产清算小组优先从基金剩余财产中支付。</w:t>
      </w:r>
    </w:p>
    <w:p w14:paraId="04A55DAB"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（五）基金财产清算剩余资产的分配</w:t>
      </w:r>
    </w:p>
    <w:p w14:paraId="57071BD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依据基金财产清算的分配方案，将基金财产清算后的全部剩余资产扣除基金财产清算费用、交纳所欠税款并清偿基金债务后，按基金份额持有人持有的各类基金份额比例进行分配。</w:t>
      </w:r>
    </w:p>
    <w:p w14:paraId="46C42C8C"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（六）基金财产清算的公告</w:t>
      </w:r>
    </w:p>
    <w:p w14:paraId="6EEDD318"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清算过程中的有关重大事项须及时公告；基金财产清算报告</w:t>
      </w:r>
      <w:proofErr w:type="gramStart"/>
      <w:r>
        <w:rPr>
          <w:rFonts w:ascii="宋体" w:hAnsi="宋体" w:hint="eastAsia"/>
          <w:bCs/>
          <w:sz w:val="24"/>
          <w:szCs w:val="24"/>
        </w:rPr>
        <w:t>经符合</w:t>
      </w:r>
      <w:proofErr w:type="gramEnd"/>
      <w:r>
        <w:rPr>
          <w:rFonts w:ascii="宋体" w:hAnsi="宋体" w:hint="eastAsia"/>
          <w:bCs/>
          <w:sz w:val="24"/>
          <w:szCs w:val="24"/>
        </w:rPr>
        <w:t>《中华人民共和国证券法》规定的会计师事务所审计，律师事务所出具法律意见书后，由基金财产清算小组</w:t>
      </w:r>
      <w:r>
        <w:rPr>
          <w:rFonts w:ascii="宋体" w:hAnsi="宋体" w:hint="eastAsia"/>
          <w:bCs/>
          <w:sz w:val="24"/>
        </w:rPr>
        <w:t>报中国证监会备案并公告。基金财产清算小组报中国证监会备案并公告后5个工作日内，应当将清算报告登载在规定网站上，并将清算报告提示性公告登载在规定报刊上。</w:t>
      </w:r>
    </w:p>
    <w:p w14:paraId="34C8309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（七）基金财产清算账册及文件的保存</w:t>
      </w:r>
    </w:p>
    <w:p w14:paraId="7EFBCD10" w14:textId="77777777" w:rsidR="00166BB1" w:rsidRPr="00AD2C2A"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基金财产清算账册及有关文件由基金托管人保存，保存期限不少于法律法规规定的最低期限。</w:t>
      </w:r>
    </w:p>
    <w:p w14:paraId="1CF6ED54"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八、争议解决方式</w:t>
      </w:r>
    </w:p>
    <w:p w14:paraId="47FB7593"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对于因基金合同的订立、内容、履行和解释或与基金合同有关的争议，基金合同当事人应尽量通过协商、调解途径解决。不愿或者不能通过协商、调解解决的，任何一方均有权将争议提交中国国际经济贸易仲裁委员会，仲裁地点为北京市，按照中国国际经济贸易仲裁委员会届时有效的仲裁规则进行仲裁。仲裁裁决是终局的，对各方当事人均有约束力，仲裁费由败诉方承担，除非仲裁裁决另有决定。</w:t>
      </w:r>
    </w:p>
    <w:p w14:paraId="14DA5BE0"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争议处理期间，基金管理人及基金托管人应恪守各自的职责，继续忠实、勤勉、尽责地履行基金合同约定的义务，维护基金份额持有人的合法权益。</w:t>
      </w:r>
    </w:p>
    <w:p w14:paraId="18036131"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本基金合同受中国法律（为本基金合同之目的，不包括香港特别行政区、澳门特别行政区和台湾地区法律）管辖，并按其解释。</w:t>
      </w:r>
    </w:p>
    <w:p w14:paraId="54B44CD9" w14:textId="77777777"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lastRenderedPageBreak/>
        <w:t>九、基金合同存放地和投资人取得基金合同的方式</w:t>
      </w:r>
    </w:p>
    <w:p w14:paraId="23F4F594" w14:textId="0825FCE5" w:rsidR="00166BB1" w:rsidRDefault="00166BB1">
      <w:pPr>
        <w:adjustRightInd w:val="0"/>
        <w:snapToGrid w:val="0"/>
        <w:spacing w:line="360" w:lineRule="auto"/>
        <w:ind w:firstLineChars="200" w:firstLine="480"/>
        <w:rPr>
          <w:rFonts w:ascii="宋体" w:hAnsi="宋体"/>
          <w:bCs/>
          <w:sz w:val="24"/>
          <w:szCs w:val="24"/>
        </w:rPr>
      </w:pPr>
      <w:r>
        <w:rPr>
          <w:rFonts w:ascii="宋体" w:hAnsi="宋体" w:hint="eastAsia"/>
          <w:bCs/>
          <w:sz w:val="24"/>
          <w:szCs w:val="24"/>
        </w:rPr>
        <w:t>基金合同可印制成册，供投资人在基金管理人、基金托管人、销售机构的办公场所和营业场所查阅。</w:t>
      </w:r>
    </w:p>
    <w:p w14:paraId="346392B1" w14:textId="19A7D0B3" w:rsidR="00864B4B" w:rsidRDefault="00864B4B">
      <w:pPr>
        <w:adjustRightInd w:val="0"/>
        <w:snapToGrid w:val="0"/>
        <w:spacing w:line="360" w:lineRule="auto"/>
        <w:ind w:firstLineChars="200" w:firstLine="480"/>
        <w:rPr>
          <w:rFonts w:ascii="宋体" w:hAnsi="宋体"/>
          <w:bCs/>
          <w:sz w:val="24"/>
          <w:szCs w:val="24"/>
        </w:rPr>
      </w:pPr>
    </w:p>
    <w:bookmarkEnd w:id="495"/>
    <w:bookmarkEnd w:id="496"/>
    <w:p w14:paraId="592D11E0" w14:textId="025B46DC" w:rsidR="00926695" w:rsidRPr="00864B4B" w:rsidRDefault="00926695" w:rsidP="00864B4B">
      <w:pPr>
        <w:adjustRightInd w:val="0"/>
        <w:snapToGrid w:val="0"/>
        <w:spacing w:line="360" w:lineRule="auto"/>
        <w:rPr>
          <w:rFonts w:hint="eastAsia"/>
        </w:rPr>
      </w:pPr>
    </w:p>
    <w:sectPr w:rsidR="00926695" w:rsidRPr="00864B4B">
      <w:footerReference w:type="default" r:id="rId12"/>
      <w:pgSz w:w="11906" w:h="16838"/>
      <w:pgMar w:top="1440" w:right="1800" w:bottom="1440" w:left="1800" w:header="851" w:footer="992" w:gutter="0"/>
      <w:pgNumType w:start="1"/>
      <w:cols w:space="720"/>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F47CB5F" w16cex:dateUtc="2026-01-30T06:21:00Z"/>
  <w16cex:commentExtensible w16cex:durableId="5AC30F3D" w16cex:dateUtc="2026-01-30T06:22:00Z"/>
  <w16cex:commentExtensible w16cex:durableId="40CE074A" w16cex:dateUtc="2026-01-30T06: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94B332C" w16cid:durableId="0F47CB5F"/>
  <w16cid:commentId w16cid:paraId="14F6F408" w16cid:durableId="5AC30F3D"/>
  <w16cid:commentId w16cid:paraId="60FC9099" w16cid:durableId="40CE074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9A906" w14:textId="77777777" w:rsidR="00AA3F99" w:rsidRDefault="00AA3F99">
      <w:r>
        <w:separator/>
      </w:r>
    </w:p>
  </w:endnote>
  <w:endnote w:type="continuationSeparator" w:id="0">
    <w:p w14:paraId="7C30352E" w14:textId="77777777" w:rsidR="00AA3F99" w:rsidRDefault="00AA3F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altName w:val="FreeSerif"/>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1117"/>
    </w:sdtPr>
    <w:sdtEndPr/>
    <w:sdtContent>
      <w:p w14:paraId="30C5C95E" w14:textId="7DEDECC8" w:rsidR="00C35BD5" w:rsidRDefault="00C35BD5">
        <w:pPr>
          <w:pStyle w:val="ad"/>
          <w:jc w:val="center"/>
        </w:pPr>
        <w:r>
          <w:fldChar w:fldCharType="begin"/>
        </w:r>
        <w:r>
          <w:instrText>PAGE   \* MERGEFORMAT</w:instrText>
        </w:r>
        <w:r>
          <w:fldChar w:fldCharType="separate"/>
        </w:r>
        <w:r w:rsidR="009F72C1" w:rsidRPr="009F72C1">
          <w:rPr>
            <w:noProof/>
            <w:lang w:val="zh-CN"/>
          </w:rPr>
          <w:t>1</w:t>
        </w:r>
        <w: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358268" w14:textId="77777777" w:rsidR="00C35BD5" w:rsidRDefault="00C35BD5">
    <w:pPr>
      <w:pStyle w:val="ad"/>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2712740"/>
      <w:docPartObj>
        <w:docPartGallery w:val="Page Numbers (Bottom of Page)"/>
        <w:docPartUnique/>
      </w:docPartObj>
    </w:sdtPr>
    <w:sdtContent>
      <w:p w14:paraId="57EB85D7" w14:textId="79C1A5CE" w:rsidR="00C35BD5" w:rsidRDefault="009F72C1" w:rsidP="009F72C1">
        <w:pPr>
          <w:pStyle w:val="ad"/>
          <w:jc w:val="center"/>
        </w:pPr>
        <w:r>
          <w:fldChar w:fldCharType="begin"/>
        </w:r>
        <w:r>
          <w:instrText>PAGE   \* MERGEFORMAT</w:instrText>
        </w:r>
        <w:r>
          <w:fldChar w:fldCharType="separate"/>
        </w:r>
        <w:r w:rsidRPr="009F72C1">
          <w:rPr>
            <w:noProof/>
            <w:lang w:val="zh-CN"/>
          </w:rPr>
          <w:t>20</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89B23F" w14:textId="77777777" w:rsidR="00AA3F99" w:rsidRDefault="00AA3F99">
      <w:r>
        <w:separator/>
      </w:r>
    </w:p>
  </w:footnote>
  <w:footnote w:type="continuationSeparator" w:id="0">
    <w:p w14:paraId="41A84493" w14:textId="77777777" w:rsidR="00AA3F99" w:rsidRDefault="00AA3F9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7107" w14:textId="77777777" w:rsidR="00C35BD5" w:rsidRDefault="00C35BD5">
    <w:pPr>
      <w:pStyle w:val="af"/>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12455" w14:textId="1C4413C7" w:rsidR="00C35BD5" w:rsidRDefault="00C35BD5">
    <w:pPr>
      <w:pStyle w:val="af"/>
      <w:pBdr>
        <w:bottom w:val="thickThinLargeGap" w:sz="24" w:space="10" w:color="auto"/>
      </w:pBdr>
      <w:tabs>
        <w:tab w:val="right" w:pos="8280"/>
      </w:tabs>
      <w:spacing w:line="0" w:lineRule="atLeast"/>
      <w:jc w:val="left"/>
      <w:rPr>
        <w:rFonts w:ascii="宋体" w:hAnsi="宋体"/>
      </w:rPr>
    </w:pPr>
    <w:r>
      <w:rPr>
        <w:rFonts w:hint="eastAsia"/>
      </w:rPr>
      <w:t>银华中证有色金属交易型开放式指数证券投资基金联接基金</w:t>
    </w:r>
    <w:r>
      <w:rPr>
        <w:rFonts w:ascii="宋体" w:hAnsi="宋体" w:hint="eastAsia"/>
      </w:rPr>
      <w:t xml:space="preserve">                        </w:t>
    </w:r>
    <w:r>
      <w:rPr>
        <w:rFonts w:ascii="宋体" w:hAnsi="宋体"/>
      </w:rPr>
      <w:t xml:space="preserve">        </w:t>
    </w:r>
    <w:r>
      <w:rPr>
        <w:rFonts w:hint="eastAsia"/>
      </w:rPr>
      <w:t>基金合同</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0000000A"/>
    <w:lvl w:ilvl="0">
      <w:start w:val="1"/>
      <w:numFmt w:val="bullet"/>
      <w:pStyle w:val="Listbullet"/>
      <w:lvlText w:val=""/>
      <w:lvlJc w:val="left"/>
      <w:pPr>
        <w:tabs>
          <w:tab w:val="left" w:pos="360"/>
        </w:tabs>
        <w:ind w:left="360" w:hanging="360"/>
      </w:pPr>
      <w:rPr>
        <w:rFonts w:ascii="Symbol" w:hAnsi="Symbol" w:hint="default"/>
        <w:color w:val="auto"/>
      </w:rPr>
    </w:lvl>
  </w:abstractNum>
  <w:abstractNum w:abstractNumId="1" w15:restartNumberingAfterBreak="0">
    <w:nsid w:val="7C16AE8D"/>
    <w:multiLevelType w:val="singleLevel"/>
    <w:tmpl w:val="7C16AE8D"/>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93FF1701"/>
    <w:rsid w:val="9B7EECAE"/>
    <w:rsid w:val="A9689B30"/>
    <w:rsid w:val="A9F7C23E"/>
    <w:rsid w:val="ABEB07C7"/>
    <w:rsid w:val="ADBF4AFF"/>
    <w:rsid w:val="AFF70511"/>
    <w:rsid w:val="B47FDCB8"/>
    <w:rsid w:val="B7659BBD"/>
    <w:rsid w:val="B9AF0EEF"/>
    <w:rsid w:val="BAE5F6DF"/>
    <w:rsid w:val="BB177619"/>
    <w:rsid w:val="BDFCA69D"/>
    <w:rsid w:val="C5FF209A"/>
    <w:rsid w:val="CFBA8B49"/>
    <w:rsid w:val="D2BDEB5E"/>
    <w:rsid w:val="D7BF23D6"/>
    <w:rsid w:val="DDBED932"/>
    <w:rsid w:val="DEC7C4AB"/>
    <w:rsid w:val="E7F702D8"/>
    <w:rsid w:val="EB735D2E"/>
    <w:rsid w:val="EFE73D94"/>
    <w:rsid w:val="F1F17345"/>
    <w:rsid w:val="F535BA28"/>
    <w:rsid w:val="F58F859F"/>
    <w:rsid w:val="F5DF5B86"/>
    <w:rsid w:val="F7FFA5B4"/>
    <w:rsid w:val="F9FF236C"/>
    <w:rsid w:val="FB7E7986"/>
    <w:rsid w:val="FBFBE510"/>
    <w:rsid w:val="FD7F1C58"/>
    <w:rsid w:val="FDF6D596"/>
    <w:rsid w:val="FE59F78B"/>
    <w:rsid w:val="FEEAAF78"/>
    <w:rsid w:val="FF3B6D67"/>
    <w:rsid w:val="FFB7D702"/>
    <w:rsid w:val="FFD6A26E"/>
    <w:rsid w:val="FFFC89EF"/>
    <w:rsid w:val="FFFDF281"/>
    <w:rsid w:val="FFFF950C"/>
    <w:rsid w:val="00000314"/>
    <w:rsid w:val="000007F5"/>
    <w:rsid w:val="0000134A"/>
    <w:rsid w:val="000018A1"/>
    <w:rsid w:val="00001BBF"/>
    <w:rsid w:val="00001CCA"/>
    <w:rsid w:val="00001FD8"/>
    <w:rsid w:val="000033DC"/>
    <w:rsid w:val="0000370A"/>
    <w:rsid w:val="00004118"/>
    <w:rsid w:val="00004206"/>
    <w:rsid w:val="000050D9"/>
    <w:rsid w:val="00005C02"/>
    <w:rsid w:val="00005DE6"/>
    <w:rsid w:val="000061E9"/>
    <w:rsid w:val="00006E67"/>
    <w:rsid w:val="0000748B"/>
    <w:rsid w:val="0000762A"/>
    <w:rsid w:val="00010264"/>
    <w:rsid w:val="000106F9"/>
    <w:rsid w:val="00011CED"/>
    <w:rsid w:val="00011E82"/>
    <w:rsid w:val="0001237A"/>
    <w:rsid w:val="00012448"/>
    <w:rsid w:val="00012FD5"/>
    <w:rsid w:val="00013556"/>
    <w:rsid w:val="00013732"/>
    <w:rsid w:val="00016DEF"/>
    <w:rsid w:val="000173DD"/>
    <w:rsid w:val="00020386"/>
    <w:rsid w:val="00020995"/>
    <w:rsid w:val="0002238D"/>
    <w:rsid w:val="00022AB0"/>
    <w:rsid w:val="000232C0"/>
    <w:rsid w:val="00023351"/>
    <w:rsid w:val="000237E8"/>
    <w:rsid w:val="00023C4E"/>
    <w:rsid w:val="00024786"/>
    <w:rsid w:val="00024832"/>
    <w:rsid w:val="00025026"/>
    <w:rsid w:val="00025904"/>
    <w:rsid w:val="0002603D"/>
    <w:rsid w:val="00026185"/>
    <w:rsid w:val="00026353"/>
    <w:rsid w:val="00026B53"/>
    <w:rsid w:val="00027489"/>
    <w:rsid w:val="00030264"/>
    <w:rsid w:val="00030F4A"/>
    <w:rsid w:val="0003263C"/>
    <w:rsid w:val="00032B98"/>
    <w:rsid w:val="00033150"/>
    <w:rsid w:val="0003329D"/>
    <w:rsid w:val="00035ACE"/>
    <w:rsid w:val="00035D38"/>
    <w:rsid w:val="00036B65"/>
    <w:rsid w:val="000370CE"/>
    <w:rsid w:val="00037550"/>
    <w:rsid w:val="00037BEE"/>
    <w:rsid w:val="00037D32"/>
    <w:rsid w:val="000402DC"/>
    <w:rsid w:val="00040E97"/>
    <w:rsid w:val="00040F5E"/>
    <w:rsid w:val="00041880"/>
    <w:rsid w:val="00043185"/>
    <w:rsid w:val="00043369"/>
    <w:rsid w:val="000435AA"/>
    <w:rsid w:val="000439C5"/>
    <w:rsid w:val="00043B6E"/>
    <w:rsid w:val="00043CAD"/>
    <w:rsid w:val="00044EDF"/>
    <w:rsid w:val="00045A82"/>
    <w:rsid w:val="00046565"/>
    <w:rsid w:val="0004716C"/>
    <w:rsid w:val="000474A6"/>
    <w:rsid w:val="00047662"/>
    <w:rsid w:val="00047B4C"/>
    <w:rsid w:val="00047FB3"/>
    <w:rsid w:val="00050159"/>
    <w:rsid w:val="00050E5C"/>
    <w:rsid w:val="000512A5"/>
    <w:rsid w:val="00052709"/>
    <w:rsid w:val="00052FA7"/>
    <w:rsid w:val="00052FE5"/>
    <w:rsid w:val="000547A0"/>
    <w:rsid w:val="0005498A"/>
    <w:rsid w:val="00054CD9"/>
    <w:rsid w:val="00054F45"/>
    <w:rsid w:val="00056757"/>
    <w:rsid w:val="000575E1"/>
    <w:rsid w:val="00060404"/>
    <w:rsid w:val="00060416"/>
    <w:rsid w:val="00060431"/>
    <w:rsid w:val="00060755"/>
    <w:rsid w:val="00060852"/>
    <w:rsid w:val="00060879"/>
    <w:rsid w:val="00060B87"/>
    <w:rsid w:val="00060C72"/>
    <w:rsid w:val="00061540"/>
    <w:rsid w:val="00061871"/>
    <w:rsid w:val="00061B62"/>
    <w:rsid w:val="00061C92"/>
    <w:rsid w:val="00061E2F"/>
    <w:rsid w:val="000629D3"/>
    <w:rsid w:val="0006300A"/>
    <w:rsid w:val="000637CA"/>
    <w:rsid w:val="000645C0"/>
    <w:rsid w:val="0006479F"/>
    <w:rsid w:val="000655DC"/>
    <w:rsid w:val="000667C7"/>
    <w:rsid w:val="00067318"/>
    <w:rsid w:val="000705D1"/>
    <w:rsid w:val="000705E3"/>
    <w:rsid w:val="000718A6"/>
    <w:rsid w:val="00071D04"/>
    <w:rsid w:val="00071D9A"/>
    <w:rsid w:val="00071E49"/>
    <w:rsid w:val="00072636"/>
    <w:rsid w:val="00072C5F"/>
    <w:rsid w:val="00073252"/>
    <w:rsid w:val="000735CD"/>
    <w:rsid w:val="00074147"/>
    <w:rsid w:val="0007484E"/>
    <w:rsid w:val="00075093"/>
    <w:rsid w:val="000757A2"/>
    <w:rsid w:val="00075E81"/>
    <w:rsid w:val="000761D4"/>
    <w:rsid w:val="00076E68"/>
    <w:rsid w:val="00077310"/>
    <w:rsid w:val="0008053E"/>
    <w:rsid w:val="00080644"/>
    <w:rsid w:val="000809E0"/>
    <w:rsid w:val="00080AF9"/>
    <w:rsid w:val="00080E64"/>
    <w:rsid w:val="000817A9"/>
    <w:rsid w:val="000820EE"/>
    <w:rsid w:val="00082462"/>
    <w:rsid w:val="00082754"/>
    <w:rsid w:val="0008366A"/>
    <w:rsid w:val="000837CF"/>
    <w:rsid w:val="00084524"/>
    <w:rsid w:val="000847BD"/>
    <w:rsid w:val="000854B9"/>
    <w:rsid w:val="00087452"/>
    <w:rsid w:val="00087B05"/>
    <w:rsid w:val="00087F1B"/>
    <w:rsid w:val="00087F2A"/>
    <w:rsid w:val="00090452"/>
    <w:rsid w:val="00090DE2"/>
    <w:rsid w:val="00090F5D"/>
    <w:rsid w:val="000918AB"/>
    <w:rsid w:val="000921D0"/>
    <w:rsid w:val="00092D7C"/>
    <w:rsid w:val="00095EA3"/>
    <w:rsid w:val="00096199"/>
    <w:rsid w:val="00096AB3"/>
    <w:rsid w:val="0009715A"/>
    <w:rsid w:val="00097788"/>
    <w:rsid w:val="0009778B"/>
    <w:rsid w:val="00097BF4"/>
    <w:rsid w:val="000A0305"/>
    <w:rsid w:val="000A0E4C"/>
    <w:rsid w:val="000A0F04"/>
    <w:rsid w:val="000A12DC"/>
    <w:rsid w:val="000A1465"/>
    <w:rsid w:val="000A1AD7"/>
    <w:rsid w:val="000A1F61"/>
    <w:rsid w:val="000A1F9F"/>
    <w:rsid w:val="000A280A"/>
    <w:rsid w:val="000A2C51"/>
    <w:rsid w:val="000A5B2B"/>
    <w:rsid w:val="000A6F45"/>
    <w:rsid w:val="000B024A"/>
    <w:rsid w:val="000B06CF"/>
    <w:rsid w:val="000B0A32"/>
    <w:rsid w:val="000B1445"/>
    <w:rsid w:val="000B197D"/>
    <w:rsid w:val="000B2472"/>
    <w:rsid w:val="000B27F4"/>
    <w:rsid w:val="000B30A3"/>
    <w:rsid w:val="000B3657"/>
    <w:rsid w:val="000B3A6A"/>
    <w:rsid w:val="000B413B"/>
    <w:rsid w:val="000B474D"/>
    <w:rsid w:val="000B60E1"/>
    <w:rsid w:val="000B6718"/>
    <w:rsid w:val="000B7286"/>
    <w:rsid w:val="000B7CE4"/>
    <w:rsid w:val="000C12A0"/>
    <w:rsid w:val="000C1D65"/>
    <w:rsid w:val="000C2348"/>
    <w:rsid w:val="000C2554"/>
    <w:rsid w:val="000C29B8"/>
    <w:rsid w:val="000C37C4"/>
    <w:rsid w:val="000C3848"/>
    <w:rsid w:val="000C3868"/>
    <w:rsid w:val="000C38DA"/>
    <w:rsid w:val="000C39AB"/>
    <w:rsid w:val="000C3B1D"/>
    <w:rsid w:val="000C436A"/>
    <w:rsid w:val="000C43F1"/>
    <w:rsid w:val="000C444E"/>
    <w:rsid w:val="000C4E48"/>
    <w:rsid w:val="000C5DF2"/>
    <w:rsid w:val="000C650B"/>
    <w:rsid w:val="000C7224"/>
    <w:rsid w:val="000C7226"/>
    <w:rsid w:val="000D1478"/>
    <w:rsid w:val="000D215E"/>
    <w:rsid w:val="000D21F3"/>
    <w:rsid w:val="000D27BF"/>
    <w:rsid w:val="000D2850"/>
    <w:rsid w:val="000D2A40"/>
    <w:rsid w:val="000D2FF4"/>
    <w:rsid w:val="000D307E"/>
    <w:rsid w:val="000D3399"/>
    <w:rsid w:val="000D5AC3"/>
    <w:rsid w:val="000D5D58"/>
    <w:rsid w:val="000D788E"/>
    <w:rsid w:val="000D7AA9"/>
    <w:rsid w:val="000D7E86"/>
    <w:rsid w:val="000E01AD"/>
    <w:rsid w:val="000E175D"/>
    <w:rsid w:val="000E2913"/>
    <w:rsid w:val="000E2A57"/>
    <w:rsid w:val="000E3528"/>
    <w:rsid w:val="000E3F89"/>
    <w:rsid w:val="000E43B4"/>
    <w:rsid w:val="000E477B"/>
    <w:rsid w:val="000E60BE"/>
    <w:rsid w:val="000E6154"/>
    <w:rsid w:val="000E65D9"/>
    <w:rsid w:val="000E6645"/>
    <w:rsid w:val="000E6738"/>
    <w:rsid w:val="000E67EB"/>
    <w:rsid w:val="000E6F6D"/>
    <w:rsid w:val="000E7258"/>
    <w:rsid w:val="000E7742"/>
    <w:rsid w:val="000E7C31"/>
    <w:rsid w:val="000F04ED"/>
    <w:rsid w:val="000F0EA1"/>
    <w:rsid w:val="000F2DA9"/>
    <w:rsid w:val="000F30ED"/>
    <w:rsid w:val="000F34C3"/>
    <w:rsid w:val="000F3669"/>
    <w:rsid w:val="000F42E2"/>
    <w:rsid w:val="000F4365"/>
    <w:rsid w:val="000F48E3"/>
    <w:rsid w:val="000F4A6C"/>
    <w:rsid w:val="000F4C8A"/>
    <w:rsid w:val="000F54B7"/>
    <w:rsid w:val="000F5AD6"/>
    <w:rsid w:val="000F5B84"/>
    <w:rsid w:val="000F6280"/>
    <w:rsid w:val="000F6614"/>
    <w:rsid w:val="001002AD"/>
    <w:rsid w:val="001013D6"/>
    <w:rsid w:val="00101698"/>
    <w:rsid w:val="00101892"/>
    <w:rsid w:val="00101CA5"/>
    <w:rsid w:val="00102CE0"/>
    <w:rsid w:val="00103284"/>
    <w:rsid w:val="00103D3F"/>
    <w:rsid w:val="00105002"/>
    <w:rsid w:val="0010512E"/>
    <w:rsid w:val="00105350"/>
    <w:rsid w:val="00105D81"/>
    <w:rsid w:val="00105F6E"/>
    <w:rsid w:val="00105FCA"/>
    <w:rsid w:val="0010632C"/>
    <w:rsid w:val="00106338"/>
    <w:rsid w:val="001063C1"/>
    <w:rsid w:val="00110639"/>
    <w:rsid w:val="00110C13"/>
    <w:rsid w:val="001111DE"/>
    <w:rsid w:val="001114CD"/>
    <w:rsid w:val="0011153C"/>
    <w:rsid w:val="00111749"/>
    <w:rsid w:val="00111AE7"/>
    <w:rsid w:val="00111D8B"/>
    <w:rsid w:val="00112212"/>
    <w:rsid w:val="001125CE"/>
    <w:rsid w:val="00112AFF"/>
    <w:rsid w:val="00113FC5"/>
    <w:rsid w:val="0011412F"/>
    <w:rsid w:val="00114A78"/>
    <w:rsid w:val="00114F79"/>
    <w:rsid w:val="001155FD"/>
    <w:rsid w:val="00116623"/>
    <w:rsid w:val="00116ED4"/>
    <w:rsid w:val="001201CB"/>
    <w:rsid w:val="00120D0B"/>
    <w:rsid w:val="00122006"/>
    <w:rsid w:val="00122B54"/>
    <w:rsid w:val="00122FAA"/>
    <w:rsid w:val="00123B7D"/>
    <w:rsid w:val="0012507C"/>
    <w:rsid w:val="001256D1"/>
    <w:rsid w:val="00125B40"/>
    <w:rsid w:val="00125B60"/>
    <w:rsid w:val="00125E5D"/>
    <w:rsid w:val="00125EED"/>
    <w:rsid w:val="0012622C"/>
    <w:rsid w:val="001264C9"/>
    <w:rsid w:val="001264D2"/>
    <w:rsid w:val="00126667"/>
    <w:rsid w:val="00130148"/>
    <w:rsid w:val="001306A9"/>
    <w:rsid w:val="0013079F"/>
    <w:rsid w:val="001309B8"/>
    <w:rsid w:val="00130AC8"/>
    <w:rsid w:val="00130F45"/>
    <w:rsid w:val="0013126A"/>
    <w:rsid w:val="00131CF4"/>
    <w:rsid w:val="00131E80"/>
    <w:rsid w:val="00131FEB"/>
    <w:rsid w:val="00132146"/>
    <w:rsid w:val="001333AD"/>
    <w:rsid w:val="0013346E"/>
    <w:rsid w:val="00133684"/>
    <w:rsid w:val="00133D3E"/>
    <w:rsid w:val="00133F03"/>
    <w:rsid w:val="00134431"/>
    <w:rsid w:val="0013541A"/>
    <w:rsid w:val="0013637E"/>
    <w:rsid w:val="0013638F"/>
    <w:rsid w:val="00136885"/>
    <w:rsid w:val="00136D65"/>
    <w:rsid w:val="001371FB"/>
    <w:rsid w:val="00140446"/>
    <w:rsid w:val="00140769"/>
    <w:rsid w:val="001408B0"/>
    <w:rsid w:val="0014166E"/>
    <w:rsid w:val="00141C08"/>
    <w:rsid w:val="00143106"/>
    <w:rsid w:val="00143279"/>
    <w:rsid w:val="001442C1"/>
    <w:rsid w:val="001449AF"/>
    <w:rsid w:val="001453C2"/>
    <w:rsid w:val="00146293"/>
    <w:rsid w:val="00146741"/>
    <w:rsid w:val="001472CD"/>
    <w:rsid w:val="00147843"/>
    <w:rsid w:val="001478FB"/>
    <w:rsid w:val="00147E9F"/>
    <w:rsid w:val="0015008E"/>
    <w:rsid w:val="00150361"/>
    <w:rsid w:val="00150525"/>
    <w:rsid w:val="001514E5"/>
    <w:rsid w:val="001516A3"/>
    <w:rsid w:val="001525BB"/>
    <w:rsid w:val="00152606"/>
    <w:rsid w:val="001526BA"/>
    <w:rsid w:val="00152BB3"/>
    <w:rsid w:val="00152BC8"/>
    <w:rsid w:val="0015367E"/>
    <w:rsid w:val="0015378D"/>
    <w:rsid w:val="001541E3"/>
    <w:rsid w:val="001545D9"/>
    <w:rsid w:val="00155058"/>
    <w:rsid w:val="0015575B"/>
    <w:rsid w:val="00155CB5"/>
    <w:rsid w:val="00155E18"/>
    <w:rsid w:val="001562C6"/>
    <w:rsid w:val="00156E8F"/>
    <w:rsid w:val="00156F35"/>
    <w:rsid w:val="0015770B"/>
    <w:rsid w:val="00157AAE"/>
    <w:rsid w:val="00157B3F"/>
    <w:rsid w:val="00160285"/>
    <w:rsid w:val="0016040D"/>
    <w:rsid w:val="001610C1"/>
    <w:rsid w:val="00161D41"/>
    <w:rsid w:val="001628AD"/>
    <w:rsid w:val="00162C97"/>
    <w:rsid w:val="001631E7"/>
    <w:rsid w:val="0016321A"/>
    <w:rsid w:val="00163C91"/>
    <w:rsid w:val="00163F23"/>
    <w:rsid w:val="001645DD"/>
    <w:rsid w:val="00164625"/>
    <w:rsid w:val="00164D76"/>
    <w:rsid w:val="00164DD5"/>
    <w:rsid w:val="00164E4B"/>
    <w:rsid w:val="0016545A"/>
    <w:rsid w:val="001654AC"/>
    <w:rsid w:val="00165EFF"/>
    <w:rsid w:val="00165FF0"/>
    <w:rsid w:val="00166A8B"/>
    <w:rsid w:val="00166B93"/>
    <w:rsid w:val="00166BB1"/>
    <w:rsid w:val="00166D62"/>
    <w:rsid w:val="0016706F"/>
    <w:rsid w:val="00167C2A"/>
    <w:rsid w:val="00171073"/>
    <w:rsid w:val="00171789"/>
    <w:rsid w:val="00171A56"/>
    <w:rsid w:val="00172871"/>
    <w:rsid w:val="00172A27"/>
    <w:rsid w:val="00172C42"/>
    <w:rsid w:val="0017484E"/>
    <w:rsid w:val="00174D68"/>
    <w:rsid w:val="00175074"/>
    <w:rsid w:val="001760CC"/>
    <w:rsid w:val="00176960"/>
    <w:rsid w:val="00176BF2"/>
    <w:rsid w:val="00176D00"/>
    <w:rsid w:val="00176E9C"/>
    <w:rsid w:val="00177933"/>
    <w:rsid w:val="00177D1B"/>
    <w:rsid w:val="00180046"/>
    <w:rsid w:val="001805A2"/>
    <w:rsid w:val="00180854"/>
    <w:rsid w:val="00181C28"/>
    <w:rsid w:val="0018265E"/>
    <w:rsid w:val="0018279E"/>
    <w:rsid w:val="00182915"/>
    <w:rsid w:val="00182A0A"/>
    <w:rsid w:val="00182FB8"/>
    <w:rsid w:val="001837F6"/>
    <w:rsid w:val="0018404D"/>
    <w:rsid w:val="00185239"/>
    <w:rsid w:val="0018579F"/>
    <w:rsid w:val="001863A9"/>
    <w:rsid w:val="001869F5"/>
    <w:rsid w:val="00191D3B"/>
    <w:rsid w:val="00192EE6"/>
    <w:rsid w:val="00193609"/>
    <w:rsid w:val="001937D8"/>
    <w:rsid w:val="00195192"/>
    <w:rsid w:val="00197918"/>
    <w:rsid w:val="00197A80"/>
    <w:rsid w:val="001A002A"/>
    <w:rsid w:val="001A0A63"/>
    <w:rsid w:val="001A0C4D"/>
    <w:rsid w:val="001A1360"/>
    <w:rsid w:val="001A15D5"/>
    <w:rsid w:val="001A1D56"/>
    <w:rsid w:val="001A1EDA"/>
    <w:rsid w:val="001A2059"/>
    <w:rsid w:val="001A299C"/>
    <w:rsid w:val="001A43E6"/>
    <w:rsid w:val="001A540A"/>
    <w:rsid w:val="001A5DF6"/>
    <w:rsid w:val="001A629B"/>
    <w:rsid w:val="001A6EB1"/>
    <w:rsid w:val="001B0140"/>
    <w:rsid w:val="001B03EA"/>
    <w:rsid w:val="001B0447"/>
    <w:rsid w:val="001B1EE7"/>
    <w:rsid w:val="001B26F5"/>
    <w:rsid w:val="001B396D"/>
    <w:rsid w:val="001B3A2E"/>
    <w:rsid w:val="001B3B07"/>
    <w:rsid w:val="001B4543"/>
    <w:rsid w:val="001B4B14"/>
    <w:rsid w:val="001B4C9C"/>
    <w:rsid w:val="001B5779"/>
    <w:rsid w:val="001B59A4"/>
    <w:rsid w:val="001B5A79"/>
    <w:rsid w:val="001B690A"/>
    <w:rsid w:val="001B6A6E"/>
    <w:rsid w:val="001B6D28"/>
    <w:rsid w:val="001B728F"/>
    <w:rsid w:val="001B77D3"/>
    <w:rsid w:val="001B7F25"/>
    <w:rsid w:val="001C0960"/>
    <w:rsid w:val="001C0B11"/>
    <w:rsid w:val="001C1AF7"/>
    <w:rsid w:val="001C1D62"/>
    <w:rsid w:val="001C28BB"/>
    <w:rsid w:val="001C3624"/>
    <w:rsid w:val="001C3971"/>
    <w:rsid w:val="001C57F8"/>
    <w:rsid w:val="001C581B"/>
    <w:rsid w:val="001C61A0"/>
    <w:rsid w:val="001C662A"/>
    <w:rsid w:val="001C6698"/>
    <w:rsid w:val="001C703B"/>
    <w:rsid w:val="001C7046"/>
    <w:rsid w:val="001C7559"/>
    <w:rsid w:val="001C790D"/>
    <w:rsid w:val="001C7BB0"/>
    <w:rsid w:val="001C7CA7"/>
    <w:rsid w:val="001D0A53"/>
    <w:rsid w:val="001D0D7F"/>
    <w:rsid w:val="001D0DFA"/>
    <w:rsid w:val="001D1B7A"/>
    <w:rsid w:val="001D3204"/>
    <w:rsid w:val="001D3AD9"/>
    <w:rsid w:val="001D4167"/>
    <w:rsid w:val="001D467A"/>
    <w:rsid w:val="001D46BD"/>
    <w:rsid w:val="001D5C13"/>
    <w:rsid w:val="001D62C7"/>
    <w:rsid w:val="001E165E"/>
    <w:rsid w:val="001E190A"/>
    <w:rsid w:val="001E2E40"/>
    <w:rsid w:val="001E3752"/>
    <w:rsid w:val="001E4F49"/>
    <w:rsid w:val="001E4FA0"/>
    <w:rsid w:val="001E563E"/>
    <w:rsid w:val="001E5FDE"/>
    <w:rsid w:val="001E778E"/>
    <w:rsid w:val="001E79DF"/>
    <w:rsid w:val="001F0391"/>
    <w:rsid w:val="001F0876"/>
    <w:rsid w:val="001F1456"/>
    <w:rsid w:val="001F15E0"/>
    <w:rsid w:val="001F18C0"/>
    <w:rsid w:val="001F1B64"/>
    <w:rsid w:val="001F2077"/>
    <w:rsid w:val="001F28B0"/>
    <w:rsid w:val="001F2C41"/>
    <w:rsid w:val="001F34F3"/>
    <w:rsid w:val="001F3AD9"/>
    <w:rsid w:val="001F3C0C"/>
    <w:rsid w:val="001F4096"/>
    <w:rsid w:val="001F43BD"/>
    <w:rsid w:val="001F49C9"/>
    <w:rsid w:val="001F4BC5"/>
    <w:rsid w:val="001F66D6"/>
    <w:rsid w:val="001F6FE1"/>
    <w:rsid w:val="001F7BC1"/>
    <w:rsid w:val="001F7D55"/>
    <w:rsid w:val="0020091F"/>
    <w:rsid w:val="00200E27"/>
    <w:rsid w:val="00200F9F"/>
    <w:rsid w:val="00201068"/>
    <w:rsid w:val="00201388"/>
    <w:rsid w:val="00201632"/>
    <w:rsid w:val="002023F5"/>
    <w:rsid w:val="0020357E"/>
    <w:rsid w:val="002047BB"/>
    <w:rsid w:val="002052E6"/>
    <w:rsid w:val="002057EC"/>
    <w:rsid w:val="00205940"/>
    <w:rsid w:val="0020595A"/>
    <w:rsid w:val="002061F0"/>
    <w:rsid w:val="00206788"/>
    <w:rsid w:val="0021042D"/>
    <w:rsid w:val="0021084E"/>
    <w:rsid w:val="002108BC"/>
    <w:rsid w:val="00210DFB"/>
    <w:rsid w:val="002113BB"/>
    <w:rsid w:val="00211A98"/>
    <w:rsid w:val="00211FA3"/>
    <w:rsid w:val="0021201D"/>
    <w:rsid w:val="002121AF"/>
    <w:rsid w:val="00212E43"/>
    <w:rsid w:val="0021354F"/>
    <w:rsid w:val="00213824"/>
    <w:rsid w:val="002138CE"/>
    <w:rsid w:val="002138D2"/>
    <w:rsid w:val="00213D90"/>
    <w:rsid w:val="00214A90"/>
    <w:rsid w:val="002153F1"/>
    <w:rsid w:val="002155A4"/>
    <w:rsid w:val="0021600D"/>
    <w:rsid w:val="002160CA"/>
    <w:rsid w:val="0021645F"/>
    <w:rsid w:val="00222B02"/>
    <w:rsid w:val="00223980"/>
    <w:rsid w:val="00224650"/>
    <w:rsid w:val="00224C54"/>
    <w:rsid w:val="00224E9C"/>
    <w:rsid w:val="00225634"/>
    <w:rsid w:val="0022685D"/>
    <w:rsid w:val="00226A56"/>
    <w:rsid w:val="002303F5"/>
    <w:rsid w:val="00230500"/>
    <w:rsid w:val="00230E56"/>
    <w:rsid w:val="0023120D"/>
    <w:rsid w:val="0023334C"/>
    <w:rsid w:val="00234ACC"/>
    <w:rsid w:val="00234CB8"/>
    <w:rsid w:val="00234DA1"/>
    <w:rsid w:val="00234F9E"/>
    <w:rsid w:val="0023526C"/>
    <w:rsid w:val="00235BD4"/>
    <w:rsid w:val="00235FA8"/>
    <w:rsid w:val="00236E3D"/>
    <w:rsid w:val="00237418"/>
    <w:rsid w:val="00237FA3"/>
    <w:rsid w:val="00240176"/>
    <w:rsid w:val="00241BC1"/>
    <w:rsid w:val="002427D7"/>
    <w:rsid w:val="00242888"/>
    <w:rsid w:val="002432AF"/>
    <w:rsid w:val="0024372F"/>
    <w:rsid w:val="00243B91"/>
    <w:rsid w:val="002448AF"/>
    <w:rsid w:val="0024508E"/>
    <w:rsid w:val="00245289"/>
    <w:rsid w:val="002458DE"/>
    <w:rsid w:val="00245F75"/>
    <w:rsid w:val="00246320"/>
    <w:rsid w:val="00246854"/>
    <w:rsid w:val="00247F4D"/>
    <w:rsid w:val="0025011A"/>
    <w:rsid w:val="002501A7"/>
    <w:rsid w:val="00250E13"/>
    <w:rsid w:val="00251089"/>
    <w:rsid w:val="002513DC"/>
    <w:rsid w:val="002516F2"/>
    <w:rsid w:val="00252941"/>
    <w:rsid w:val="00253F7B"/>
    <w:rsid w:val="002544E0"/>
    <w:rsid w:val="00254DA3"/>
    <w:rsid w:val="00255483"/>
    <w:rsid w:val="0025590E"/>
    <w:rsid w:val="00255AD4"/>
    <w:rsid w:val="00256104"/>
    <w:rsid w:val="00256387"/>
    <w:rsid w:val="002566F9"/>
    <w:rsid w:val="00256AE8"/>
    <w:rsid w:val="00256B14"/>
    <w:rsid w:val="00257196"/>
    <w:rsid w:val="002571E5"/>
    <w:rsid w:val="00257907"/>
    <w:rsid w:val="0026063E"/>
    <w:rsid w:val="002608BC"/>
    <w:rsid w:val="0026094B"/>
    <w:rsid w:val="00261BEA"/>
    <w:rsid w:val="00261E63"/>
    <w:rsid w:val="0026206B"/>
    <w:rsid w:val="002623DD"/>
    <w:rsid w:val="00263069"/>
    <w:rsid w:val="002639BE"/>
    <w:rsid w:val="002646E8"/>
    <w:rsid w:val="00264D7B"/>
    <w:rsid w:val="00264EDB"/>
    <w:rsid w:val="00265410"/>
    <w:rsid w:val="00265C6F"/>
    <w:rsid w:val="00265E9F"/>
    <w:rsid w:val="00266778"/>
    <w:rsid w:val="00266894"/>
    <w:rsid w:val="0026699D"/>
    <w:rsid w:val="00266D30"/>
    <w:rsid w:val="00266D6A"/>
    <w:rsid w:val="00270153"/>
    <w:rsid w:val="002703F9"/>
    <w:rsid w:val="002705D3"/>
    <w:rsid w:val="00270AAA"/>
    <w:rsid w:val="00271AA6"/>
    <w:rsid w:val="00272241"/>
    <w:rsid w:val="00272A94"/>
    <w:rsid w:val="00273044"/>
    <w:rsid w:val="002731FB"/>
    <w:rsid w:val="00274061"/>
    <w:rsid w:val="00275382"/>
    <w:rsid w:val="002755BC"/>
    <w:rsid w:val="00275883"/>
    <w:rsid w:val="00276A5B"/>
    <w:rsid w:val="002775EB"/>
    <w:rsid w:val="00277748"/>
    <w:rsid w:val="00277C1F"/>
    <w:rsid w:val="00277CCE"/>
    <w:rsid w:val="00277DED"/>
    <w:rsid w:val="00277F01"/>
    <w:rsid w:val="00277F5A"/>
    <w:rsid w:val="002801E2"/>
    <w:rsid w:val="00280295"/>
    <w:rsid w:val="0028038B"/>
    <w:rsid w:val="00280513"/>
    <w:rsid w:val="002805C1"/>
    <w:rsid w:val="00280A3A"/>
    <w:rsid w:val="00280E57"/>
    <w:rsid w:val="00281607"/>
    <w:rsid w:val="002818FA"/>
    <w:rsid w:val="0028313C"/>
    <w:rsid w:val="00283B20"/>
    <w:rsid w:val="00284FB9"/>
    <w:rsid w:val="002857EB"/>
    <w:rsid w:val="00285DE3"/>
    <w:rsid w:val="0028630F"/>
    <w:rsid w:val="0028675F"/>
    <w:rsid w:val="00287659"/>
    <w:rsid w:val="002904DD"/>
    <w:rsid w:val="00290D7F"/>
    <w:rsid w:val="00291284"/>
    <w:rsid w:val="0029191A"/>
    <w:rsid w:val="00291A20"/>
    <w:rsid w:val="002925BC"/>
    <w:rsid w:val="0029361A"/>
    <w:rsid w:val="00293B0F"/>
    <w:rsid w:val="00293B16"/>
    <w:rsid w:val="00294B05"/>
    <w:rsid w:val="00294C00"/>
    <w:rsid w:val="0029594A"/>
    <w:rsid w:val="00295C2F"/>
    <w:rsid w:val="0029671E"/>
    <w:rsid w:val="00296C20"/>
    <w:rsid w:val="00297527"/>
    <w:rsid w:val="002A12B9"/>
    <w:rsid w:val="002A13FF"/>
    <w:rsid w:val="002A216E"/>
    <w:rsid w:val="002A22C7"/>
    <w:rsid w:val="002A2C7A"/>
    <w:rsid w:val="002A38B0"/>
    <w:rsid w:val="002A5C55"/>
    <w:rsid w:val="002A5CF7"/>
    <w:rsid w:val="002A609B"/>
    <w:rsid w:val="002A60D5"/>
    <w:rsid w:val="002A66D8"/>
    <w:rsid w:val="002A6B24"/>
    <w:rsid w:val="002A6E2C"/>
    <w:rsid w:val="002A7C9C"/>
    <w:rsid w:val="002B00AC"/>
    <w:rsid w:val="002B11CC"/>
    <w:rsid w:val="002B1725"/>
    <w:rsid w:val="002B17A1"/>
    <w:rsid w:val="002B1A2D"/>
    <w:rsid w:val="002B1C25"/>
    <w:rsid w:val="002B2D67"/>
    <w:rsid w:val="002B335A"/>
    <w:rsid w:val="002B3510"/>
    <w:rsid w:val="002B3875"/>
    <w:rsid w:val="002B4B9D"/>
    <w:rsid w:val="002B5683"/>
    <w:rsid w:val="002B5BF7"/>
    <w:rsid w:val="002B5F48"/>
    <w:rsid w:val="002B6CB6"/>
    <w:rsid w:val="002B7519"/>
    <w:rsid w:val="002B7F1B"/>
    <w:rsid w:val="002C0687"/>
    <w:rsid w:val="002C0726"/>
    <w:rsid w:val="002C0750"/>
    <w:rsid w:val="002C08CD"/>
    <w:rsid w:val="002C0A7B"/>
    <w:rsid w:val="002C2DD4"/>
    <w:rsid w:val="002C33C6"/>
    <w:rsid w:val="002C4007"/>
    <w:rsid w:val="002C57D0"/>
    <w:rsid w:val="002C5C5E"/>
    <w:rsid w:val="002C6331"/>
    <w:rsid w:val="002C67E0"/>
    <w:rsid w:val="002C6C80"/>
    <w:rsid w:val="002C702A"/>
    <w:rsid w:val="002D01CA"/>
    <w:rsid w:val="002D03A7"/>
    <w:rsid w:val="002D10B5"/>
    <w:rsid w:val="002D1B8D"/>
    <w:rsid w:val="002D34EB"/>
    <w:rsid w:val="002D3615"/>
    <w:rsid w:val="002D397C"/>
    <w:rsid w:val="002D42B1"/>
    <w:rsid w:val="002D460D"/>
    <w:rsid w:val="002D4620"/>
    <w:rsid w:val="002D50BC"/>
    <w:rsid w:val="002D5163"/>
    <w:rsid w:val="002D53C1"/>
    <w:rsid w:val="002D552E"/>
    <w:rsid w:val="002D574F"/>
    <w:rsid w:val="002D599D"/>
    <w:rsid w:val="002D6ACA"/>
    <w:rsid w:val="002D76DB"/>
    <w:rsid w:val="002E1D7E"/>
    <w:rsid w:val="002E3420"/>
    <w:rsid w:val="002E3E56"/>
    <w:rsid w:val="002E3F25"/>
    <w:rsid w:val="002E45C4"/>
    <w:rsid w:val="002E4AA6"/>
    <w:rsid w:val="002E4B84"/>
    <w:rsid w:val="002E5672"/>
    <w:rsid w:val="002E64C6"/>
    <w:rsid w:val="002E659D"/>
    <w:rsid w:val="002E66F2"/>
    <w:rsid w:val="002E72DA"/>
    <w:rsid w:val="002E730F"/>
    <w:rsid w:val="002E7824"/>
    <w:rsid w:val="002E7855"/>
    <w:rsid w:val="002E7860"/>
    <w:rsid w:val="002E7B3E"/>
    <w:rsid w:val="002E7DA6"/>
    <w:rsid w:val="002F06EA"/>
    <w:rsid w:val="002F0DEC"/>
    <w:rsid w:val="002F0EBA"/>
    <w:rsid w:val="002F2424"/>
    <w:rsid w:val="002F28A5"/>
    <w:rsid w:val="002F2EDE"/>
    <w:rsid w:val="002F3A50"/>
    <w:rsid w:val="002F4957"/>
    <w:rsid w:val="002F580D"/>
    <w:rsid w:val="002F64DF"/>
    <w:rsid w:val="002F6613"/>
    <w:rsid w:val="002F68BA"/>
    <w:rsid w:val="002F737A"/>
    <w:rsid w:val="002F7C67"/>
    <w:rsid w:val="00300B00"/>
    <w:rsid w:val="00300B61"/>
    <w:rsid w:val="00301538"/>
    <w:rsid w:val="00302276"/>
    <w:rsid w:val="00303305"/>
    <w:rsid w:val="00304B19"/>
    <w:rsid w:val="00306037"/>
    <w:rsid w:val="00307169"/>
    <w:rsid w:val="0030742F"/>
    <w:rsid w:val="0030743E"/>
    <w:rsid w:val="003103A9"/>
    <w:rsid w:val="0031049C"/>
    <w:rsid w:val="003107C4"/>
    <w:rsid w:val="0031155B"/>
    <w:rsid w:val="00311937"/>
    <w:rsid w:val="00311CC5"/>
    <w:rsid w:val="003128F1"/>
    <w:rsid w:val="00313538"/>
    <w:rsid w:val="0031450B"/>
    <w:rsid w:val="0031525B"/>
    <w:rsid w:val="00315EE0"/>
    <w:rsid w:val="003162F8"/>
    <w:rsid w:val="00316462"/>
    <w:rsid w:val="003171D3"/>
    <w:rsid w:val="00317E15"/>
    <w:rsid w:val="00320147"/>
    <w:rsid w:val="00320BDE"/>
    <w:rsid w:val="0032115A"/>
    <w:rsid w:val="0032198B"/>
    <w:rsid w:val="00323ED3"/>
    <w:rsid w:val="003248F2"/>
    <w:rsid w:val="0032645A"/>
    <w:rsid w:val="00326AD3"/>
    <w:rsid w:val="003276FC"/>
    <w:rsid w:val="00327DB2"/>
    <w:rsid w:val="00327DE6"/>
    <w:rsid w:val="003306FB"/>
    <w:rsid w:val="00331134"/>
    <w:rsid w:val="0033145A"/>
    <w:rsid w:val="00332005"/>
    <w:rsid w:val="0033323A"/>
    <w:rsid w:val="0033376D"/>
    <w:rsid w:val="00334412"/>
    <w:rsid w:val="003349CA"/>
    <w:rsid w:val="00334C04"/>
    <w:rsid w:val="003352A1"/>
    <w:rsid w:val="0033546E"/>
    <w:rsid w:val="00335752"/>
    <w:rsid w:val="00335D61"/>
    <w:rsid w:val="003363AE"/>
    <w:rsid w:val="00336538"/>
    <w:rsid w:val="003369F5"/>
    <w:rsid w:val="003376BB"/>
    <w:rsid w:val="003377B9"/>
    <w:rsid w:val="003400E8"/>
    <w:rsid w:val="0034043F"/>
    <w:rsid w:val="00340906"/>
    <w:rsid w:val="00342893"/>
    <w:rsid w:val="00343096"/>
    <w:rsid w:val="003432D1"/>
    <w:rsid w:val="003439DE"/>
    <w:rsid w:val="00343A71"/>
    <w:rsid w:val="00344721"/>
    <w:rsid w:val="00344BEE"/>
    <w:rsid w:val="00345CE5"/>
    <w:rsid w:val="0034601E"/>
    <w:rsid w:val="003465E6"/>
    <w:rsid w:val="00346869"/>
    <w:rsid w:val="00350553"/>
    <w:rsid w:val="00350B20"/>
    <w:rsid w:val="00350BD2"/>
    <w:rsid w:val="00350DDB"/>
    <w:rsid w:val="00351B2A"/>
    <w:rsid w:val="00352A9B"/>
    <w:rsid w:val="00353BAE"/>
    <w:rsid w:val="00353E01"/>
    <w:rsid w:val="00353EB0"/>
    <w:rsid w:val="00354FE0"/>
    <w:rsid w:val="00355F02"/>
    <w:rsid w:val="00356623"/>
    <w:rsid w:val="00356692"/>
    <w:rsid w:val="00356A3F"/>
    <w:rsid w:val="00356CF1"/>
    <w:rsid w:val="00360619"/>
    <w:rsid w:val="00360F1A"/>
    <w:rsid w:val="00361038"/>
    <w:rsid w:val="003610E3"/>
    <w:rsid w:val="0036189F"/>
    <w:rsid w:val="00362BE3"/>
    <w:rsid w:val="00362C66"/>
    <w:rsid w:val="00362CF4"/>
    <w:rsid w:val="00363BAC"/>
    <w:rsid w:val="003656BF"/>
    <w:rsid w:val="00366745"/>
    <w:rsid w:val="0036784D"/>
    <w:rsid w:val="003679B6"/>
    <w:rsid w:val="00367D13"/>
    <w:rsid w:val="00370D2F"/>
    <w:rsid w:val="0037145C"/>
    <w:rsid w:val="0037264B"/>
    <w:rsid w:val="00373DB0"/>
    <w:rsid w:val="00373F45"/>
    <w:rsid w:val="00374423"/>
    <w:rsid w:val="00374B2C"/>
    <w:rsid w:val="003759AE"/>
    <w:rsid w:val="00375B07"/>
    <w:rsid w:val="00375B2B"/>
    <w:rsid w:val="00376516"/>
    <w:rsid w:val="003770EE"/>
    <w:rsid w:val="00377A0C"/>
    <w:rsid w:val="00377F7D"/>
    <w:rsid w:val="0038063A"/>
    <w:rsid w:val="00380709"/>
    <w:rsid w:val="0038073A"/>
    <w:rsid w:val="00380B11"/>
    <w:rsid w:val="00381050"/>
    <w:rsid w:val="0038118D"/>
    <w:rsid w:val="00381A85"/>
    <w:rsid w:val="00381A9D"/>
    <w:rsid w:val="00382F2C"/>
    <w:rsid w:val="0038341F"/>
    <w:rsid w:val="00384AC3"/>
    <w:rsid w:val="00384D5E"/>
    <w:rsid w:val="0038503E"/>
    <w:rsid w:val="003856C2"/>
    <w:rsid w:val="00385B50"/>
    <w:rsid w:val="00385C95"/>
    <w:rsid w:val="0038619B"/>
    <w:rsid w:val="00386924"/>
    <w:rsid w:val="00386D3D"/>
    <w:rsid w:val="0038730B"/>
    <w:rsid w:val="0039067F"/>
    <w:rsid w:val="003906B6"/>
    <w:rsid w:val="00390726"/>
    <w:rsid w:val="0039090F"/>
    <w:rsid w:val="00391A94"/>
    <w:rsid w:val="0039270C"/>
    <w:rsid w:val="00392994"/>
    <w:rsid w:val="003929BA"/>
    <w:rsid w:val="00392E57"/>
    <w:rsid w:val="00393154"/>
    <w:rsid w:val="00393181"/>
    <w:rsid w:val="00393329"/>
    <w:rsid w:val="00394A46"/>
    <w:rsid w:val="0039535D"/>
    <w:rsid w:val="00395834"/>
    <w:rsid w:val="00395F83"/>
    <w:rsid w:val="003960B0"/>
    <w:rsid w:val="0039640D"/>
    <w:rsid w:val="003976FB"/>
    <w:rsid w:val="003A0278"/>
    <w:rsid w:val="003A1F29"/>
    <w:rsid w:val="003A2D22"/>
    <w:rsid w:val="003A341B"/>
    <w:rsid w:val="003A3F66"/>
    <w:rsid w:val="003A5048"/>
    <w:rsid w:val="003A7F7E"/>
    <w:rsid w:val="003B0263"/>
    <w:rsid w:val="003B0834"/>
    <w:rsid w:val="003B0AA5"/>
    <w:rsid w:val="003B111D"/>
    <w:rsid w:val="003B1D90"/>
    <w:rsid w:val="003B250D"/>
    <w:rsid w:val="003B3078"/>
    <w:rsid w:val="003B34F6"/>
    <w:rsid w:val="003B3E96"/>
    <w:rsid w:val="003B4828"/>
    <w:rsid w:val="003B4A42"/>
    <w:rsid w:val="003B4F4C"/>
    <w:rsid w:val="003B63BD"/>
    <w:rsid w:val="003B7105"/>
    <w:rsid w:val="003B74CC"/>
    <w:rsid w:val="003B7681"/>
    <w:rsid w:val="003C00C0"/>
    <w:rsid w:val="003C018E"/>
    <w:rsid w:val="003C02DE"/>
    <w:rsid w:val="003C0B1B"/>
    <w:rsid w:val="003C1354"/>
    <w:rsid w:val="003C1573"/>
    <w:rsid w:val="003C1FE0"/>
    <w:rsid w:val="003C2C0F"/>
    <w:rsid w:val="003C2D4E"/>
    <w:rsid w:val="003C2D71"/>
    <w:rsid w:val="003C3261"/>
    <w:rsid w:val="003C3A07"/>
    <w:rsid w:val="003C3A22"/>
    <w:rsid w:val="003C3EEA"/>
    <w:rsid w:val="003C46D8"/>
    <w:rsid w:val="003C4CD0"/>
    <w:rsid w:val="003C4EFF"/>
    <w:rsid w:val="003C4FB0"/>
    <w:rsid w:val="003C5857"/>
    <w:rsid w:val="003C5893"/>
    <w:rsid w:val="003C58A5"/>
    <w:rsid w:val="003C5CDB"/>
    <w:rsid w:val="003C62C1"/>
    <w:rsid w:val="003C631D"/>
    <w:rsid w:val="003C67A4"/>
    <w:rsid w:val="003C7F25"/>
    <w:rsid w:val="003C7F79"/>
    <w:rsid w:val="003D0C70"/>
    <w:rsid w:val="003D24A6"/>
    <w:rsid w:val="003D2509"/>
    <w:rsid w:val="003D304E"/>
    <w:rsid w:val="003D36FD"/>
    <w:rsid w:val="003D3FA2"/>
    <w:rsid w:val="003D4B9F"/>
    <w:rsid w:val="003D4EDC"/>
    <w:rsid w:val="003D5BAE"/>
    <w:rsid w:val="003D6ABC"/>
    <w:rsid w:val="003E0056"/>
    <w:rsid w:val="003E0267"/>
    <w:rsid w:val="003E0739"/>
    <w:rsid w:val="003E0888"/>
    <w:rsid w:val="003E0EA9"/>
    <w:rsid w:val="003E1984"/>
    <w:rsid w:val="003E2518"/>
    <w:rsid w:val="003E316D"/>
    <w:rsid w:val="003E3718"/>
    <w:rsid w:val="003E3C66"/>
    <w:rsid w:val="003E45D7"/>
    <w:rsid w:val="003E4E22"/>
    <w:rsid w:val="003E5BF8"/>
    <w:rsid w:val="003E5EF6"/>
    <w:rsid w:val="003E60D0"/>
    <w:rsid w:val="003E65CF"/>
    <w:rsid w:val="003E67D5"/>
    <w:rsid w:val="003E72BF"/>
    <w:rsid w:val="003E7FCF"/>
    <w:rsid w:val="003F0204"/>
    <w:rsid w:val="003F06C5"/>
    <w:rsid w:val="003F1B92"/>
    <w:rsid w:val="003F215C"/>
    <w:rsid w:val="003F2800"/>
    <w:rsid w:val="003F2EDD"/>
    <w:rsid w:val="003F2FE5"/>
    <w:rsid w:val="003F3189"/>
    <w:rsid w:val="003F3F16"/>
    <w:rsid w:val="003F41CE"/>
    <w:rsid w:val="003F4590"/>
    <w:rsid w:val="003F472B"/>
    <w:rsid w:val="003F4832"/>
    <w:rsid w:val="003F4D1B"/>
    <w:rsid w:val="003F4FA0"/>
    <w:rsid w:val="003F5ACB"/>
    <w:rsid w:val="003F5B1C"/>
    <w:rsid w:val="003F5F78"/>
    <w:rsid w:val="003F75CA"/>
    <w:rsid w:val="003F7960"/>
    <w:rsid w:val="003F79FF"/>
    <w:rsid w:val="00400241"/>
    <w:rsid w:val="00400375"/>
    <w:rsid w:val="00400F37"/>
    <w:rsid w:val="004017B2"/>
    <w:rsid w:val="00401C5F"/>
    <w:rsid w:val="00402246"/>
    <w:rsid w:val="004026DB"/>
    <w:rsid w:val="00402C9D"/>
    <w:rsid w:val="00402F45"/>
    <w:rsid w:val="00402F48"/>
    <w:rsid w:val="00403CFC"/>
    <w:rsid w:val="004042AB"/>
    <w:rsid w:val="00404B66"/>
    <w:rsid w:val="00404BB6"/>
    <w:rsid w:val="00405015"/>
    <w:rsid w:val="004061F9"/>
    <w:rsid w:val="00406344"/>
    <w:rsid w:val="00406A06"/>
    <w:rsid w:val="004074C6"/>
    <w:rsid w:val="00407570"/>
    <w:rsid w:val="00410F8D"/>
    <w:rsid w:val="00411BBD"/>
    <w:rsid w:val="004121CB"/>
    <w:rsid w:val="004125E1"/>
    <w:rsid w:val="004127FD"/>
    <w:rsid w:val="00412AB4"/>
    <w:rsid w:val="00413D37"/>
    <w:rsid w:val="0041435B"/>
    <w:rsid w:val="00414D14"/>
    <w:rsid w:val="00415033"/>
    <w:rsid w:val="004150D9"/>
    <w:rsid w:val="00415D83"/>
    <w:rsid w:val="0041618D"/>
    <w:rsid w:val="00416AF9"/>
    <w:rsid w:val="00416C1E"/>
    <w:rsid w:val="00416FF6"/>
    <w:rsid w:val="00417CBC"/>
    <w:rsid w:val="00417DDB"/>
    <w:rsid w:val="00420B9C"/>
    <w:rsid w:val="00420D99"/>
    <w:rsid w:val="00422670"/>
    <w:rsid w:val="00422DB9"/>
    <w:rsid w:val="004236CE"/>
    <w:rsid w:val="0042388E"/>
    <w:rsid w:val="004255A4"/>
    <w:rsid w:val="00425CBF"/>
    <w:rsid w:val="00425DDA"/>
    <w:rsid w:val="004268AA"/>
    <w:rsid w:val="00426AD0"/>
    <w:rsid w:val="0042702C"/>
    <w:rsid w:val="00427058"/>
    <w:rsid w:val="004275D5"/>
    <w:rsid w:val="0042785F"/>
    <w:rsid w:val="00430A0C"/>
    <w:rsid w:val="00431F2E"/>
    <w:rsid w:val="00432117"/>
    <w:rsid w:val="0043213A"/>
    <w:rsid w:val="0043238C"/>
    <w:rsid w:val="00432896"/>
    <w:rsid w:val="00432B28"/>
    <w:rsid w:val="00432CDA"/>
    <w:rsid w:val="00433D7B"/>
    <w:rsid w:val="00434336"/>
    <w:rsid w:val="0043475F"/>
    <w:rsid w:val="00435C76"/>
    <w:rsid w:val="004374DA"/>
    <w:rsid w:val="00440278"/>
    <w:rsid w:val="00440EF3"/>
    <w:rsid w:val="00441093"/>
    <w:rsid w:val="00441D48"/>
    <w:rsid w:val="00442AEF"/>
    <w:rsid w:val="004438AA"/>
    <w:rsid w:val="00443D98"/>
    <w:rsid w:val="004453F3"/>
    <w:rsid w:val="00445FAE"/>
    <w:rsid w:val="004461CB"/>
    <w:rsid w:val="0044629A"/>
    <w:rsid w:val="0044672B"/>
    <w:rsid w:val="0044773B"/>
    <w:rsid w:val="00447E17"/>
    <w:rsid w:val="00450057"/>
    <w:rsid w:val="0045117D"/>
    <w:rsid w:val="0045235D"/>
    <w:rsid w:val="00454731"/>
    <w:rsid w:val="0045532D"/>
    <w:rsid w:val="00455FB7"/>
    <w:rsid w:val="0045605F"/>
    <w:rsid w:val="00456F92"/>
    <w:rsid w:val="00457477"/>
    <w:rsid w:val="00457C3D"/>
    <w:rsid w:val="0046008B"/>
    <w:rsid w:val="004600ED"/>
    <w:rsid w:val="00461212"/>
    <w:rsid w:val="004612AF"/>
    <w:rsid w:val="00461645"/>
    <w:rsid w:val="00461829"/>
    <w:rsid w:val="00461CCB"/>
    <w:rsid w:val="00461D6A"/>
    <w:rsid w:val="00462540"/>
    <w:rsid w:val="004625F4"/>
    <w:rsid w:val="00462D16"/>
    <w:rsid w:val="00462F2C"/>
    <w:rsid w:val="00463618"/>
    <w:rsid w:val="00463AE6"/>
    <w:rsid w:val="00463EAE"/>
    <w:rsid w:val="004644A2"/>
    <w:rsid w:val="004646F6"/>
    <w:rsid w:val="0046474A"/>
    <w:rsid w:val="0046502E"/>
    <w:rsid w:val="00465137"/>
    <w:rsid w:val="0046570E"/>
    <w:rsid w:val="0046579F"/>
    <w:rsid w:val="00465A80"/>
    <w:rsid w:val="00466F1F"/>
    <w:rsid w:val="00470B05"/>
    <w:rsid w:val="00471458"/>
    <w:rsid w:val="0047164D"/>
    <w:rsid w:val="0047397E"/>
    <w:rsid w:val="004741F2"/>
    <w:rsid w:val="00474629"/>
    <w:rsid w:val="00474DFB"/>
    <w:rsid w:val="00474ECB"/>
    <w:rsid w:val="00474F90"/>
    <w:rsid w:val="00475F9B"/>
    <w:rsid w:val="00476391"/>
    <w:rsid w:val="004764BA"/>
    <w:rsid w:val="00476AD4"/>
    <w:rsid w:val="00476E60"/>
    <w:rsid w:val="00480132"/>
    <w:rsid w:val="0048040F"/>
    <w:rsid w:val="00480C30"/>
    <w:rsid w:val="00480FF3"/>
    <w:rsid w:val="00481B89"/>
    <w:rsid w:val="00481D4D"/>
    <w:rsid w:val="004825BA"/>
    <w:rsid w:val="00482F40"/>
    <w:rsid w:val="0048389E"/>
    <w:rsid w:val="0048453F"/>
    <w:rsid w:val="00484C7B"/>
    <w:rsid w:val="00485542"/>
    <w:rsid w:val="00486401"/>
    <w:rsid w:val="00486860"/>
    <w:rsid w:val="004869CA"/>
    <w:rsid w:val="004877CB"/>
    <w:rsid w:val="00487812"/>
    <w:rsid w:val="00487930"/>
    <w:rsid w:val="0049040F"/>
    <w:rsid w:val="0049054A"/>
    <w:rsid w:val="00490590"/>
    <w:rsid w:val="00491630"/>
    <w:rsid w:val="00491712"/>
    <w:rsid w:val="004919A8"/>
    <w:rsid w:val="00491C97"/>
    <w:rsid w:val="00492A7F"/>
    <w:rsid w:val="004938A4"/>
    <w:rsid w:val="00493B8C"/>
    <w:rsid w:val="00493CE9"/>
    <w:rsid w:val="00493CF1"/>
    <w:rsid w:val="00493D50"/>
    <w:rsid w:val="00493F9A"/>
    <w:rsid w:val="00494800"/>
    <w:rsid w:val="00495503"/>
    <w:rsid w:val="004958DA"/>
    <w:rsid w:val="0049639A"/>
    <w:rsid w:val="004964A6"/>
    <w:rsid w:val="00496C25"/>
    <w:rsid w:val="004A02D9"/>
    <w:rsid w:val="004A114A"/>
    <w:rsid w:val="004A13BB"/>
    <w:rsid w:val="004A1E3C"/>
    <w:rsid w:val="004A25BB"/>
    <w:rsid w:val="004A3608"/>
    <w:rsid w:val="004A4CF7"/>
    <w:rsid w:val="004A52EF"/>
    <w:rsid w:val="004A6120"/>
    <w:rsid w:val="004A6756"/>
    <w:rsid w:val="004A6F31"/>
    <w:rsid w:val="004A7B59"/>
    <w:rsid w:val="004A7D3F"/>
    <w:rsid w:val="004B06F5"/>
    <w:rsid w:val="004B08D0"/>
    <w:rsid w:val="004B0D2D"/>
    <w:rsid w:val="004B0DF4"/>
    <w:rsid w:val="004B17E9"/>
    <w:rsid w:val="004B204F"/>
    <w:rsid w:val="004B2798"/>
    <w:rsid w:val="004B3390"/>
    <w:rsid w:val="004B35C2"/>
    <w:rsid w:val="004B40E1"/>
    <w:rsid w:val="004B489A"/>
    <w:rsid w:val="004B50F4"/>
    <w:rsid w:val="004B5C07"/>
    <w:rsid w:val="004B6603"/>
    <w:rsid w:val="004B72C6"/>
    <w:rsid w:val="004C16C5"/>
    <w:rsid w:val="004C1EB2"/>
    <w:rsid w:val="004C20CB"/>
    <w:rsid w:val="004C2113"/>
    <w:rsid w:val="004C356B"/>
    <w:rsid w:val="004C4ACF"/>
    <w:rsid w:val="004C5689"/>
    <w:rsid w:val="004C592C"/>
    <w:rsid w:val="004C63A3"/>
    <w:rsid w:val="004C6C7F"/>
    <w:rsid w:val="004D072B"/>
    <w:rsid w:val="004D0D02"/>
    <w:rsid w:val="004D0EDD"/>
    <w:rsid w:val="004D164B"/>
    <w:rsid w:val="004D17EE"/>
    <w:rsid w:val="004D1949"/>
    <w:rsid w:val="004D22C8"/>
    <w:rsid w:val="004D4305"/>
    <w:rsid w:val="004D44DF"/>
    <w:rsid w:val="004D4B05"/>
    <w:rsid w:val="004D55D0"/>
    <w:rsid w:val="004D5668"/>
    <w:rsid w:val="004D67A4"/>
    <w:rsid w:val="004D6E22"/>
    <w:rsid w:val="004D74D0"/>
    <w:rsid w:val="004D750B"/>
    <w:rsid w:val="004E0DFA"/>
    <w:rsid w:val="004E1627"/>
    <w:rsid w:val="004E1860"/>
    <w:rsid w:val="004E18B0"/>
    <w:rsid w:val="004E1D37"/>
    <w:rsid w:val="004E3F0B"/>
    <w:rsid w:val="004E46AB"/>
    <w:rsid w:val="004E4B8A"/>
    <w:rsid w:val="004E4DF4"/>
    <w:rsid w:val="004E52BC"/>
    <w:rsid w:val="004E5F2E"/>
    <w:rsid w:val="004E63D9"/>
    <w:rsid w:val="004E6568"/>
    <w:rsid w:val="004E6ACF"/>
    <w:rsid w:val="004E6EEA"/>
    <w:rsid w:val="004F0148"/>
    <w:rsid w:val="004F0283"/>
    <w:rsid w:val="004F0FCD"/>
    <w:rsid w:val="004F1268"/>
    <w:rsid w:val="004F157B"/>
    <w:rsid w:val="004F1C23"/>
    <w:rsid w:val="004F226A"/>
    <w:rsid w:val="004F26A3"/>
    <w:rsid w:val="004F29A2"/>
    <w:rsid w:val="004F5227"/>
    <w:rsid w:val="004F54D8"/>
    <w:rsid w:val="004F5A0C"/>
    <w:rsid w:val="004F5BBC"/>
    <w:rsid w:val="004F5E04"/>
    <w:rsid w:val="004F6D76"/>
    <w:rsid w:val="004F6FDC"/>
    <w:rsid w:val="00500854"/>
    <w:rsid w:val="00500AFF"/>
    <w:rsid w:val="005016BA"/>
    <w:rsid w:val="005018DB"/>
    <w:rsid w:val="00501B8F"/>
    <w:rsid w:val="00501B95"/>
    <w:rsid w:val="0050233B"/>
    <w:rsid w:val="005031CC"/>
    <w:rsid w:val="0050349B"/>
    <w:rsid w:val="0050354B"/>
    <w:rsid w:val="00503768"/>
    <w:rsid w:val="00504BB4"/>
    <w:rsid w:val="00505241"/>
    <w:rsid w:val="0050591F"/>
    <w:rsid w:val="00506170"/>
    <w:rsid w:val="0050752F"/>
    <w:rsid w:val="00507676"/>
    <w:rsid w:val="00507894"/>
    <w:rsid w:val="005110BC"/>
    <w:rsid w:val="0051115E"/>
    <w:rsid w:val="00511931"/>
    <w:rsid w:val="00512304"/>
    <w:rsid w:val="0051328A"/>
    <w:rsid w:val="00513318"/>
    <w:rsid w:val="00513D44"/>
    <w:rsid w:val="0051462F"/>
    <w:rsid w:val="00514635"/>
    <w:rsid w:val="005156B8"/>
    <w:rsid w:val="00516AEC"/>
    <w:rsid w:val="00517060"/>
    <w:rsid w:val="00517774"/>
    <w:rsid w:val="0051787A"/>
    <w:rsid w:val="00520F71"/>
    <w:rsid w:val="0052132F"/>
    <w:rsid w:val="0052144A"/>
    <w:rsid w:val="005230D3"/>
    <w:rsid w:val="005232B5"/>
    <w:rsid w:val="00524FE1"/>
    <w:rsid w:val="00526D72"/>
    <w:rsid w:val="00527AC9"/>
    <w:rsid w:val="00527CC7"/>
    <w:rsid w:val="00530FB6"/>
    <w:rsid w:val="005314A9"/>
    <w:rsid w:val="005316B4"/>
    <w:rsid w:val="0053207C"/>
    <w:rsid w:val="00532A21"/>
    <w:rsid w:val="00532E9D"/>
    <w:rsid w:val="00532EE8"/>
    <w:rsid w:val="00533066"/>
    <w:rsid w:val="005330E6"/>
    <w:rsid w:val="005336A1"/>
    <w:rsid w:val="00533894"/>
    <w:rsid w:val="00534933"/>
    <w:rsid w:val="005353FB"/>
    <w:rsid w:val="00535804"/>
    <w:rsid w:val="00536371"/>
    <w:rsid w:val="0053647C"/>
    <w:rsid w:val="00536572"/>
    <w:rsid w:val="00536B63"/>
    <w:rsid w:val="005370AE"/>
    <w:rsid w:val="005403CE"/>
    <w:rsid w:val="005403EB"/>
    <w:rsid w:val="005405D5"/>
    <w:rsid w:val="00541A7F"/>
    <w:rsid w:val="00541A9C"/>
    <w:rsid w:val="00541F30"/>
    <w:rsid w:val="005429D9"/>
    <w:rsid w:val="0054397F"/>
    <w:rsid w:val="00544137"/>
    <w:rsid w:val="00544871"/>
    <w:rsid w:val="00544B68"/>
    <w:rsid w:val="0054534B"/>
    <w:rsid w:val="00545962"/>
    <w:rsid w:val="00546743"/>
    <w:rsid w:val="00546FFA"/>
    <w:rsid w:val="005504AE"/>
    <w:rsid w:val="00550749"/>
    <w:rsid w:val="00550897"/>
    <w:rsid w:val="005512DC"/>
    <w:rsid w:val="005515DB"/>
    <w:rsid w:val="005519AF"/>
    <w:rsid w:val="005531E0"/>
    <w:rsid w:val="00553917"/>
    <w:rsid w:val="00553C50"/>
    <w:rsid w:val="0055437A"/>
    <w:rsid w:val="00554385"/>
    <w:rsid w:val="00554D8D"/>
    <w:rsid w:val="005557E7"/>
    <w:rsid w:val="00555BE5"/>
    <w:rsid w:val="00556363"/>
    <w:rsid w:val="00557A3B"/>
    <w:rsid w:val="005608C4"/>
    <w:rsid w:val="0056103E"/>
    <w:rsid w:val="00561668"/>
    <w:rsid w:val="0056166F"/>
    <w:rsid w:val="0056381D"/>
    <w:rsid w:val="0056467B"/>
    <w:rsid w:val="00564FD1"/>
    <w:rsid w:val="00565232"/>
    <w:rsid w:val="005656A2"/>
    <w:rsid w:val="005657C4"/>
    <w:rsid w:val="00565888"/>
    <w:rsid w:val="0056642D"/>
    <w:rsid w:val="00566D02"/>
    <w:rsid w:val="00567405"/>
    <w:rsid w:val="0056798A"/>
    <w:rsid w:val="00567D02"/>
    <w:rsid w:val="00567F76"/>
    <w:rsid w:val="00570081"/>
    <w:rsid w:val="00570661"/>
    <w:rsid w:val="005717B5"/>
    <w:rsid w:val="00571A2F"/>
    <w:rsid w:val="00571CC3"/>
    <w:rsid w:val="00571D06"/>
    <w:rsid w:val="00572291"/>
    <w:rsid w:val="0057230A"/>
    <w:rsid w:val="005732AD"/>
    <w:rsid w:val="00573D69"/>
    <w:rsid w:val="0057421D"/>
    <w:rsid w:val="00574285"/>
    <w:rsid w:val="005744E0"/>
    <w:rsid w:val="00574C48"/>
    <w:rsid w:val="00575D49"/>
    <w:rsid w:val="0057689F"/>
    <w:rsid w:val="005773CF"/>
    <w:rsid w:val="0057782D"/>
    <w:rsid w:val="00577AE4"/>
    <w:rsid w:val="00577AED"/>
    <w:rsid w:val="00577FD1"/>
    <w:rsid w:val="005806B0"/>
    <w:rsid w:val="005809D4"/>
    <w:rsid w:val="00580F04"/>
    <w:rsid w:val="005810A6"/>
    <w:rsid w:val="00581AF8"/>
    <w:rsid w:val="00582007"/>
    <w:rsid w:val="0058215E"/>
    <w:rsid w:val="00582EA8"/>
    <w:rsid w:val="00583442"/>
    <w:rsid w:val="0058411B"/>
    <w:rsid w:val="005843E0"/>
    <w:rsid w:val="005849E3"/>
    <w:rsid w:val="00584C5B"/>
    <w:rsid w:val="005861AA"/>
    <w:rsid w:val="005864E5"/>
    <w:rsid w:val="0058731D"/>
    <w:rsid w:val="0059052E"/>
    <w:rsid w:val="0059061D"/>
    <w:rsid w:val="00591A21"/>
    <w:rsid w:val="00591F2A"/>
    <w:rsid w:val="005926B2"/>
    <w:rsid w:val="005934EA"/>
    <w:rsid w:val="00593C51"/>
    <w:rsid w:val="00594191"/>
    <w:rsid w:val="00594979"/>
    <w:rsid w:val="00594E3A"/>
    <w:rsid w:val="005962E2"/>
    <w:rsid w:val="005966E1"/>
    <w:rsid w:val="005A041A"/>
    <w:rsid w:val="005A04BB"/>
    <w:rsid w:val="005A1B7F"/>
    <w:rsid w:val="005A2559"/>
    <w:rsid w:val="005A263E"/>
    <w:rsid w:val="005A2DE5"/>
    <w:rsid w:val="005A37CE"/>
    <w:rsid w:val="005A4218"/>
    <w:rsid w:val="005A45CF"/>
    <w:rsid w:val="005A51D0"/>
    <w:rsid w:val="005A573D"/>
    <w:rsid w:val="005A57B8"/>
    <w:rsid w:val="005A69CA"/>
    <w:rsid w:val="005A7186"/>
    <w:rsid w:val="005A7ACF"/>
    <w:rsid w:val="005B067D"/>
    <w:rsid w:val="005B0824"/>
    <w:rsid w:val="005B0E98"/>
    <w:rsid w:val="005B1CB8"/>
    <w:rsid w:val="005B233D"/>
    <w:rsid w:val="005B2620"/>
    <w:rsid w:val="005B2675"/>
    <w:rsid w:val="005B30CF"/>
    <w:rsid w:val="005B356A"/>
    <w:rsid w:val="005B3A02"/>
    <w:rsid w:val="005B4464"/>
    <w:rsid w:val="005B4EF3"/>
    <w:rsid w:val="005B51EE"/>
    <w:rsid w:val="005B69B2"/>
    <w:rsid w:val="005B6D7A"/>
    <w:rsid w:val="005B6E77"/>
    <w:rsid w:val="005C01F0"/>
    <w:rsid w:val="005C08A1"/>
    <w:rsid w:val="005C0DA6"/>
    <w:rsid w:val="005C24D9"/>
    <w:rsid w:val="005C28C6"/>
    <w:rsid w:val="005C2FB2"/>
    <w:rsid w:val="005C301A"/>
    <w:rsid w:val="005C323F"/>
    <w:rsid w:val="005C4F45"/>
    <w:rsid w:val="005C58C8"/>
    <w:rsid w:val="005C5AD7"/>
    <w:rsid w:val="005C5CF7"/>
    <w:rsid w:val="005C6001"/>
    <w:rsid w:val="005C7207"/>
    <w:rsid w:val="005C7CC1"/>
    <w:rsid w:val="005C7EC8"/>
    <w:rsid w:val="005D0859"/>
    <w:rsid w:val="005D0FBD"/>
    <w:rsid w:val="005D1248"/>
    <w:rsid w:val="005D226F"/>
    <w:rsid w:val="005D22FD"/>
    <w:rsid w:val="005D3370"/>
    <w:rsid w:val="005D4B83"/>
    <w:rsid w:val="005D4D4F"/>
    <w:rsid w:val="005D5266"/>
    <w:rsid w:val="005D62C4"/>
    <w:rsid w:val="005D72E2"/>
    <w:rsid w:val="005D7651"/>
    <w:rsid w:val="005D77B0"/>
    <w:rsid w:val="005D783D"/>
    <w:rsid w:val="005D7C2B"/>
    <w:rsid w:val="005D7D4D"/>
    <w:rsid w:val="005D7F58"/>
    <w:rsid w:val="005E0D93"/>
    <w:rsid w:val="005E17DF"/>
    <w:rsid w:val="005E208E"/>
    <w:rsid w:val="005E241B"/>
    <w:rsid w:val="005E45A7"/>
    <w:rsid w:val="005E5410"/>
    <w:rsid w:val="005E5DA4"/>
    <w:rsid w:val="005E5DFB"/>
    <w:rsid w:val="005E63FE"/>
    <w:rsid w:val="005E7748"/>
    <w:rsid w:val="005E77AE"/>
    <w:rsid w:val="005E7B62"/>
    <w:rsid w:val="005E7DE8"/>
    <w:rsid w:val="005E7E37"/>
    <w:rsid w:val="005F0032"/>
    <w:rsid w:val="005F0F54"/>
    <w:rsid w:val="005F15D8"/>
    <w:rsid w:val="005F19FE"/>
    <w:rsid w:val="005F1C48"/>
    <w:rsid w:val="005F1D38"/>
    <w:rsid w:val="005F246A"/>
    <w:rsid w:val="005F35DF"/>
    <w:rsid w:val="005F4D27"/>
    <w:rsid w:val="005F4FDC"/>
    <w:rsid w:val="005F51DE"/>
    <w:rsid w:val="005F55A7"/>
    <w:rsid w:val="005F5CB9"/>
    <w:rsid w:val="005F5CBC"/>
    <w:rsid w:val="005F5D80"/>
    <w:rsid w:val="00600927"/>
    <w:rsid w:val="00600DB2"/>
    <w:rsid w:val="0060104A"/>
    <w:rsid w:val="006017A7"/>
    <w:rsid w:val="00601A94"/>
    <w:rsid w:val="00601DCF"/>
    <w:rsid w:val="00601E7C"/>
    <w:rsid w:val="006035F3"/>
    <w:rsid w:val="0060390C"/>
    <w:rsid w:val="00603E61"/>
    <w:rsid w:val="0060457D"/>
    <w:rsid w:val="00604698"/>
    <w:rsid w:val="006046C9"/>
    <w:rsid w:val="0060524F"/>
    <w:rsid w:val="006054AA"/>
    <w:rsid w:val="006071F9"/>
    <w:rsid w:val="0060749F"/>
    <w:rsid w:val="00607820"/>
    <w:rsid w:val="00607A44"/>
    <w:rsid w:val="00607F23"/>
    <w:rsid w:val="006104C7"/>
    <w:rsid w:val="0061066F"/>
    <w:rsid w:val="0061072C"/>
    <w:rsid w:val="00610A55"/>
    <w:rsid w:val="00610B7D"/>
    <w:rsid w:val="006112C4"/>
    <w:rsid w:val="00611D79"/>
    <w:rsid w:val="00611FC5"/>
    <w:rsid w:val="0061292C"/>
    <w:rsid w:val="006132FC"/>
    <w:rsid w:val="00613676"/>
    <w:rsid w:val="00613AE8"/>
    <w:rsid w:val="00614680"/>
    <w:rsid w:val="006156BD"/>
    <w:rsid w:val="00615DBB"/>
    <w:rsid w:val="00615F78"/>
    <w:rsid w:val="006167E8"/>
    <w:rsid w:val="00616CAB"/>
    <w:rsid w:val="00617A09"/>
    <w:rsid w:val="00617DF9"/>
    <w:rsid w:val="00617EB4"/>
    <w:rsid w:val="00620774"/>
    <w:rsid w:val="00620AC6"/>
    <w:rsid w:val="00621D29"/>
    <w:rsid w:val="0062283C"/>
    <w:rsid w:val="00622ED4"/>
    <w:rsid w:val="00623172"/>
    <w:rsid w:val="0062321A"/>
    <w:rsid w:val="0062386A"/>
    <w:rsid w:val="00624D7E"/>
    <w:rsid w:val="00625235"/>
    <w:rsid w:val="00625827"/>
    <w:rsid w:val="00625D1A"/>
    <w:rsid w:val="00626F67"/>
    <w:rsid w:val="00627549"/>
    <w:rsid w:val="00630872"/>
    <w:rsid w:val="00631112"/>
    <w:rsid w:val="0063128A"/>
    <w:rsid w:val="0063174A"/>
    <w:rsid w:val="00631D9B"/>
    <w:rsid w:val="00631EC1"/>
    <w:rsid w:val="00632AF2"/>
    <w:rsid w:val="00632F74"/>
    <w:rsid w:val="00635386"/>
    <w:rsid w:val="00635F8A"/>
    <w:rsid w:val="006367B3"/>
    <w:rsid w:val="00636A71"/>
    <w:rsid w:val="00636F78"/>
    <w:rsid w:val="00637153"/>
    <w:rsid w:val="00637B54"/>
    <w:rsid w:val="006407EA"/>
    <w:rsid w:val="00640B46"/>
    <w:rsid w:val="00640E15"/>
    <w:rsid w:val="00641433"/>
    <w:rsid w:val="00642428"/>
    <w:rsid w:val="00642731"/>
    <w:rsid w:val="0064289B"/>
    <w:rsid w:val="00642C30"/>
    <w:rsid w:val="00643423"/>
    <w:rsid w:val="0064348B"/>
    <w:rsid w:val="00643920"/>
    <w:rsid w:val="00643ED6"/>
    <w:rsid w:val="00643F95"/>
    <w:rsid w:val="0064403D"/>
    <w:rsid w:val="006445F4"/>
    <w:rsid w:val="0064569E"/>
    <w:rsid w:val="00645752"/>
    <w:rsid w:val="00645D7B"/>
    <w:rsid w:val="00645EA9"/>
    <w:rsid w:val="00646317"/>
    <w:rsid w:val="00646BA6"/>
    <w:rsid w:val="00646CE1"/>
    <w:rsid w:val="00646EBF"/>
    <w:rsid w:val="006474C7"/>
    <w:rsid w:val="006474D7"/>
    <w:rsid w:val="00647778"/>
    <w:rsid w:val="00651485"/>
    <w:rsid w:val="006520E8"/>
    <w:rsid w:val="00652575"/>
    <w:rsid w:val="00652832"/>
    <w:rsid w:val="006535FF"/>
    <w:rsid w:val="0065476A"/>
    <w:rsid w:val="00654928"/>
    <w:rsid w:val="00654A27"/>
    <w:rsid w:val="00654FAD"/>
    <w:rsid w:val="00655864"/>
    <w:rsid w:val="00655A3A"/>
    <w:rsid w:val="00655F82"/>
    <w:rsid w:val="0065695C"/>
    <w:rsid w:val="006570DD"/>
    <w:rsid w:val="00657373"/>
    <w:rsid w:val="00660BF9"/>
    <w:rsid w:val="00661776"/>
    <w:rsid w:val="00661F4F"/>
    <w:rsid w:val="00661FE9"/>
    <w:rsid w:val="00662470"/>
    <w:rsid w:val="00662487"/>
    <w:rsid w:val="00662B60"/>
    <w:rsid w:val="00662E5D"/>
    <w:rsid w:val="00663311"/>
    <w:rsid w:val="006641EB"/>
    <w:rsid w:val="00664B9D"/>
    <w:rsid w:val="00664E20"/>
    <w:rsid w:val="00665A5C"/>
    <w:rsid w:val="0066628F"/>
    <w:rsid w:val="00666922"/>
    <w:rsid w:val="00666A0E"/>
    <w:rsid w:val="00666A36"/>
    <w:rsid w:val="00666C21"/>
    <w:rsid w:val="00667408"/>
    <w:rsid w:val="00667AE0"/>
    <w:rsid w:val="0067009E"/>
    <w:rsid w:val="0067019B"/>
    <w:rsid w:val="00672E32"/>
    <w:rsid w:val="0067332D"/>
    <w:rsid w:val="00673F4C"/>
    <w:rsid w:val="00674559"/>
    <w:rsid w:val="00674CF0"/>
    <w:rsid w:val="0067520A"/>
    <w:rsid w:val="0067522C"/>
    <w:rsid w:val="00675763"/>
    <w:rsid w:val="006760BE"/>
    <w:rsid w:val="00676602"/>
    <w:rsid w:val="00676C5A"/>
    <w:rsid w:val="0067726F"/>
    <w:rsid w:val="00677505"/>
    <w:rsid w:val="00677581"/>
    <w:rsid w:val="006803E3"/>
    <w:rsid w:val="006822BB"/>
    <w:rsid w:val="00682611"/>
    <w:rsid w:val="00683D09"/>
    <w:rsid w:val="006843C5"/>
    <w:rsid w:val="00684CFB"/>
    <w:rsid w:val="00685165"/>
    <w:rsid w:val="00685E33"/>
    <w:rsid w:val="0068611A"/>
    <w:rsid w:val="006863C6"/>
    <w:rsid w:val="00686DF1"/>
    <w:rsid w:val="00690541"/>
    <w:rsid w:val="00690A57"/>
    <w:rsid w:val="00690FCF"/>
    <w:rsid w:val="00691157"/>
    <w:rsid w:val="00691445"/>
    <w:rsid w:val="00691AA5"/>
    <w:rsid w:val="00691C43"/>
    <w:rsid w:val="00692450"/>
    <w:rsid w:val="00693751"/>
    <w:rsid w:val="006940DE"/>
    <w:rsid w:val="00694281"/>
    <w:rsid w:val="006945AA"/>
    <w:rsid w:val="006948D9"/>
    <w:rsid w:val="00695633"/>
    <w:rsid w:val="00695E2A"/>
    <w:rsid w:val="00695E84"/>
    <w:rsid w:val="00695FFE"/>
    <w:rsid w:val="0069680E"/>
    <w:rsid w:val="00696C83"/>
    <w:rsid w:val="006A0330"/>
    <w:rsid w:val="006A2032"/>
    <w:rsid w:val="006A2373"/>
    <w:rsid w:val="006A28A0"/>
    <w:rsid w:val="006A2A96"/>
    <w:rsid w:val="006A2BB6"/>
    <w:rsid w:val="006A482A"/>
    <w:rsid w:val="006A6092"/>
    <w:rsid w:val="006A6167"/>
    <w:rsid w:val="006A6765"/>
    <w:rsid w:val="006A6BC0"/>
    <w:rsid w:val="006A7051"/>
    <w:rsid w:val="006A73C5"/>
    <w:rsid w:val="006A7602"/>
    <w:rsid w:val="006A7A28"/>
    <w:rsid w:val="006B0C3A"/>
    <w:rsid w:val="006B107E"/>
    <w:rsid w:val="006B1FA1"/>
    <w:rsid w:val="006B2715"/>
    <w:rsid w:val="006B2C5D"/>
    <w:rsid w:val="006B2FB9"/>
    <w:rsid w:val="006B3123"/>
    <w:rsid w:val="006B3EA3"/>
    <w:rsid w:val="006B45C9"/>
    <w:rsid w:val="006B5ABC"/>
    <w:rsid w:val="006B656A"/>
    <w:rsid w:val="006B695E"/>
    <w:rsid w:val="006B7184"/>
    <w:rsid w:val="006B7612"/>
    <w:rsid w:val="006B79CB"/>
    <w:rsid w:val="006B7CF9"/>
    <w:rsid w:val="006B7EA3"/>
    <w:rsid w:val="006C0144"/>
    <w:rsid w:val="006C0903"/>
    <w:rsid w:val="006C1BAD"/>
    <w:rsid w:val="006C2478"/>
    <w:rsid w:val="006C2493"/>
    <w:rsid w:val="006C2D0A"/>
    <w:rsid w:val="006C2E42"/>
    <w:rsid w:val="006C3635"/>
    <w:rsid w:val="006C3DC5"/>
    <w:rsid w:val="006C3E9F"/>
    <w:rsid w:val="006C4272"/>
    <w:rsid w:val="006C450A"/>
    <w:rsid w:val="006C589D"/>
    <w:rsid w:val="006C5DC3"/>
    <w:rsid w:val="006C63AD"/>
    <w:rsid w:val="006C74C1"/>
    <w:rsid w:val="006C7A0E"/>
    <w:rsid w:val="006D0245"/>
    <w:rsid w:val="006D04CA"/>
    <w:rsid w:val="006D11EA"/>
    <w:rsid w:val="006D1B9A"/>
    <w:rsid w:val="006D24BC"/>
    <w:rsid w:val="006D2DE3"/>
    <w:rsid w:val="006D356A"/>
    <w:rsid w:val="006D3C17"/>
    <w:rsid w:val="006D3F25"/>
    <w:rsid w:val="006D4253"/>
    <w:rsid w:val="006D4E95"/>
    <w:rsid w:val="006D6060"/>
    <w:rsid w:val="006D609F"/>
    <w:rsid w:val="006D70A8"/>
    <w:rsid w:val="006E1062"/>
    <w:rsid w:val="006E1148"/>
    <w:rsid w:val="006E1299"/>
    <w:rsid w:val="006E1E20"/>
    <w:rsid w:val="006E1FD5"/>
    <w:rsid w:val="006E2B07"/>
    <w:rsid w:val="006E41F2"/>
    <w:rsid w:val="006E4D14"/>
    <w:rsid w:val="006E5383"/>
    <w:rsid w:val="006E547E"/>
    <w:rsid w:val="006E55D5"/>
    <w:rsid w:val="006E59F9"/>
    <w:rsid w:val="006E5AF2"/>
    <w:rsid w:val="006E5D81"/>
    <w:rsid w:val="006E64AD"/>
    <w:rsid w:val="006E6877"/>
    <w:rsid w:val="006E6A13"/>
    <w:rsid w:val="006E6BBA"/>
    <w:rsid w:val="006E700A"/>
    <w:rsid w:val="006F024E"/>
    <w:rsid w:val="006F0654"/>
    <w:rsid w:val="006F0A20"/>
    <w:rsid w:val="006F0BC3"/>
    <w:rsid w:val="006F1182"/>
    <w:rsid w:val="006F2BF2"/>
    <w:rsid w:val="006F3E5C"/>
    <w:rsid w:val="006F560B"/>
    <w:rsid w:val="006F5810"/>
    <w:rsid w:val="006F586D"/>
    <w:rsid w:val="006F5ADC"/>
    <w:rsid w:val="006F658C"/>
    <w:rsid w:val="006F665B"/>
    <w:rsid w:val="006F709B"/>
    <w:rsid w:val="006F71C2"/>
    <w:rsid w:val="006F77B3"/>
    <w:rsid w:val="006F78CB"/>
    <w:rsid w:val="006F79A3"/>
    <w:rsid w:val="006F7F06"/>
    <w:rsid w:val="00700395"/>
    <w:rsid w:val="007009BA"/>
    <w:rsid w:val="0070172D"/>
    <w:rsid w:val="00702307"/>
    <w:rsid w:val="00702C1B"/>
    <w:rsid w:val="00703046"/>
    <w:rsid w:val="007037E5"/>
    <w:rsid w:val="00704E29"/>
    <w:rsid w:val="00705E62"/>
    <w:rsid w:val="00706153"/>
    <w:rsid w:val="007064A1"/>
    <w:rsid w:val="00706750"/>
    <w:rsid w:val="0070709E"/>
    <w:rsid w:val="00707FFC"/>
    <w:rsid w:val="00710054"/>
    <w:rsid w:val="007100B2"/>
    <w:rsid w:val="00710E14"/>
    <w:rsid w:val="0071138E"/>
    <w:rsid w:val="00711A8E"/>
    <w:rsid w:val="00711E28"/>
    <w:rsid w:val="0071364C"/>
    <w:rsid w:val="0071427A"/>
    <w:rsid w:val="00714951"/>
    <w:rsid w:val="0071559E"/>
    <w:rsid w:val="00717A6D"/>
    <w:rsid w:val="007205A4"/>
    <w:rsid w:val="00720731"/>
    <w:rsid w:val="00720AE8"/>
    <w:rsid w:val="0072155F"/>
    <w:rsid w:val="007218BE"/>
    <w:rsid w:val="00721943"/>
    <w:rsid w:val="00722714"/>
    <w:rsid w:val="007229E6"/>
    <w:rsid w:val="00722F67"/>
    <w:rsid w:val="007235A0"/>
    <w:rsid w:val="00723A83"/>
    <w:rsid w:val="00723AE0"/>
    <w:rsid w:val="00724BAB"/>
    <w:rsid w:val="00725B26"/>
    <w:rsid w:val="007261ED"/>
    <w:rsid w:val="0072650E"/>
    <w:rsid w:val="007271C5"/>
    <w:rsid w:val="0072766B"/>
    <w:rsid w:val="00727A74"/>
    <w:rsid w:val="00727EEA"/>
    <w:rsid w:val="007300B2"/>
    <w:rsid w:val="007314B2"/>
    <w:rsid w:val="00731B39"/>
    <w:rsid w:val="007322B4"/>
    <w:rsid w:val="00732441"/>
    <w:rsid w:val="007327D1"/>
    <w:rsid w:val="00732BBF"/>
    <w:rsid w:val="00733DB6"/>
    <w:rsid w:val="0073460E"/>
    <w:rsid w:val="00735236"/>
    <w:rsid w:val="0073574E"/>
    <w:rsid w:val="007357F1"/>
    <w:rsid w:val="00735876"/>
    <w:rsid w:val="0073643F"/>
    <w:rsid w:val="00737659"/>
    <w:rsid w:val="007376D2"/>
    <w:rsid w:val="00737D31"/>
    <w:rsid w:val="00740A2F"/>
    <w:rsid w:val="007414CB"/>
    <w:rsid w:val="007416C6"/>
    <w:rsid w:val="0074199A"/>
    <w:rsid w:val="00741A76"/>
    <w:rsid w:val="007423A5"/>
    <w:rsid w:val="00742B62"/>
    <w:rsid w:val="00743548"/>
    <w:rsid w:val="00744687"/>
    <w:rsid w:val="00744EB1"/>
    <w:rsid w:val="007451C1"/>
    <w:rsid w:val="00745CF3"/>
    <w:rsid w:val="007468D5"/>
    <w:rsid w:val="00747016"/>
    <w:rsid w:val="00750EFD"/>
    <w:rsid w:val="00751DF7"/>
    <w:rsid w:val="00752242"/>
    <w:rsid w:val="00752B8C"/>
    <w:rsid w:val="0075300D"/>
    <w:rsid w:val="007535A6"/>
    <w:rsid w:val="00754082"/>
    <w:rsid w:val="007545FB"/>
    <w:rsid w:val="00754703"/>
    <w:rsid w:val="00754804"/>
    <w:rsid w:val="00754EA2"/>
    <w:rsid w:val="0075557E"/>
    <w:rsid w:val="00755890"/>
    <w:rsid w:val="00755B74"/>
    <w:rsid w:val="00755D71"/>
    <w:rsid w:val="00756411"/>
    <w:rsid w:val="0075669D"/>
    <w:rsid w:val="00756CF4"/>
    <w:rsid w:val="007570D8"/>
    <w:rsid w:val="00757B66"/>
    <w:rsid w:val="00757BC9"/>
    <w:rsid w:val="00761DE4"/>
    <w:rsid w:val="007622FE"/>
    <w:rsid w:val="007623B5"/>
    <w:rsid w:val="00763715"/>
    <w:rsid w:val="007637D6"/>
    <w:rsid w:val="0076397D"/>
    <w:rsid w:val="00763AD2"/>
    <w:rsid w:val="0076407F"/>
    <w:rsid w:val="00764151"/>
    <w:rsid w:val="0076546C"/>
    <w:rsid w:val="007658A9"/>
    <w:rsid w:val="00765A3F"/>
    <w:rsid w:val="00765C35"/>
    <w:rsid w:val="00767026"/>
    <w:rsid w:val="0076713D"/>
    <w:rsid w:val="007679EA"/>
    <w:rsid w:val="0077056E"/>
    <w:rsid w:val="0077155A"/>
    <w:rsid w:val="00771892"/>
    <w:rsid w:val="0077261F"/>
    <w:rsid w:val="007729A0"/>
    <w:rsid w:val="00772ED1"/>
    <w:rsid w:val="00772F5A"/>
    <w:rsid w:val="007731C1"/>
    <w:rsid w:val="007733DC"/>
    <w:rsid w:val="007736CA"/>
    <w:rsid w:val="00773A9D"/>
    <w:rsid w:val="007740DC"/>
    <w:rsid w:val="007742D9"/>
    <w:rsid w:val="0077456B"/>
    <w:rsid w:val="007745C9"/>
    <w:rsid w:val="00774C12"/>
    <w:rsid w:val="00774EA7"/>
    <w:rsid w:val="007757D4"/>
    <w:rsid w:val="007758BC"/>
    <w:rsid w:val="00775B4E"/>
    <w:rsid w:val="00775E71"/>
    <w:rsid w:val="00776364"/>
    <w:rsid w:val="0077642E"/>
    <w:rsid w:val="00776BF1"/>
    <w:rsid w:val="00777335"/>
    <w:rsid w:val="007773C2"/>
    <w:rsid w:val="00777C5A"/>
    <w:rsid w:val="0078159C"/>
    <w:rsid w:val="00782A02"/>
    <w:rsid w:val="00783031"/>
    <w:rsid w:val="00783943"/>
    <w:rsid w:val="00783A51"/>
    <w:rsid w:val="0078439A"/>
    <w:rsid w:val="00784A38"/>
    <w:rsid w:val="007851CA"/>
    <w:rsid w:val="0078533A"/>
    <w:rsid w:val="0078534F"/>
    <w:rsid w:val="00785A3E"/>
    <w:rsid w:val="00785E12"/>
    <w:rsid w:val="00786F7B"/>
    <w:rsid w:val="0078704B"/>
    <w:rsid w:val="00787FCA"/>
    <w:rsid w:val="00791DEA"/>
    <w:rsid w:val="00792099"/>
    <w:rsid w:val="00793651"/>
    <w:rsid w:val="00794A23"/>
    <w:rsid w:val="007953C8"/>
    <w:rsid w:val="00795939"/>
    <w:rsid w:val="00796830"/>
    <w:rsid w:val="00796F48"/>
    <w:rsid w:val="007A116F"/>
    <w:rsid w:val="007A22E7"/>
    <w:rsid w:val="007A23AD"/>
    <w:rsid w:val="007A24C8"/>
    <w:rsid w:val="007A3781"/>
    <w:rsid w:val="007A37B4"/>
    <w:rsid w:val="007A3949"/>
    <w:rsid w:val="007A3AA0"/>
    <w:rsid w:val="007A3F88"/>
    <w:rsid w:val="007A43C2"/>
    <w:rsid w:val="007A4A3C"/>
    <w:rsid w:val="007A51FC"/>
    <w:rsid w:val="007A731A"/>
    <w:rsid w:val="007A7FAB"/>
    <w:rsid w:val="007B014E"/>
    <w:rsid w:val="007B03B2"/>
    <w:rsid w:val="007B0717"/>
    <w:rsid w:val="007B0B2D"/>
    <w:rsid w:val="007B177D"/>
    <w:rsid w:val="007B1923"/>
    <w:rsid w:val="007B3060"/>
    <w:rsid w:val="007B3B4B"/>
    <w:rsid w:val="007B3D18"/>
    <w:rsid w:val="007B3FAA"/>
    <w:rsid w:val="007B42CE"/>
    <w:rsid w:val="007B462A"/>
    <w:rsid w:val="007B5347"/>
    <w:rsid w:val="007B57BF"/>
    <w:rsid w:val="007B6FB6"/>
    <w:rsid w:val="007B792C"/>
    <w:rsid w:val="007C03FC"/>
    <w:rsid w:val="007C04BC"/>
    <w:rsid w:val="007C09D3"/>
    <w:rsid w:val="007C0D0D"/>
    <w:rsid w:val="007C0E09"/>
    <w:rsid w:val="007C166C"/>
    <w:rsid w:val="007C1C61"/>
    <w:rsid w:val="007C22F7"/>
    <w:rsid w:val="007C2452"/>
    <w:rsid w:val="007C25C9"/>
    <w:rsid w:val="007C2A47"/>
    <w:rsid w:val="007C3337"/>
    <w:rsid w:val="007C38B2"/>
    <w:rsid w:val="007C3BA7"/>
    <w:rsid w:val="007C423B"/>
    <w:rsid w:val="007C4E97"/>
    <w:rsid w:val="007C52C3"/>
    <w:rsid w:val="007C52F3"/>
    <w:rsid w:val="007C5871"/>
    <w:rsid w:val="007D0DF8"/>
    <w:rsid w:val="007D138C"/>
    <w:rsid w:val="007D1FC3"/>
    <w:rsid w:val="007D25CD"/>
    <w:rsid w:val="007D36BD"/>
    <w:rsid w:val="007D3D82"/>
    <w:rsid w:val="007D4435"/>
    <w:rsid w:val="007D5616"/>
    <w:rsid w:val="007D696F"/>
    <w:rsid w:val="007D6B80"/>
    <w:rsid w:val="007D6CF1"/>
    <w:rsid w:val="007D72A9"/>
    <w:rsid w:val="007E0239"/>
    <w:rsid w:val="007E05F4"/>
    <w:rsid w:val="007E177A"/>
    <w:rsid w:val="007E223E"/>
    <w:rsid w:val="007E4AD1"/>
    <w:rsid w:val="007E62D3"/>
    <w:rsid w:val="007E69EE"/>
    <w:rsid w:val="007E7E54"/>
    <w:rsid w:val="007F1B5A"/>
    <w:rsid w:val="007F3285"/>
    <w:rsid w:val="007F33B0"/>
    <w:rsid w:val="007F457F"/>
    <w:rsid w:val="007F4B4F"/>
    <w:rsid w:val="007F57CB"/>
    <w:rsid w:val="007F63BA"/>
    <w:rsid w:val="007F64F2"/>
    <w:rsid w:val="007F6FAB"/>
    <w:rsid w:val="008003E1"/>
    <w:rsid w:val="008006ED"/>
    <w:rsid w:val="0080071A"/>
    <w:rsid w:val="008008B4"/>
    <w:rsid w:val="00800A2E"/>
    <w:rsid w:val="00800A63"/>
    <w:rsid w:val="00801991"/>
    <w:rsid w:val="00801AB3"/>
    <w:rsid w:val="00801BEF"/>
    <w:rsid w:val="00801E32"/>
    <w:rsid w:val="0080263E"/>
    <w:rsid w:val="008026AA"/>
    <w:rsid w:val="00802933"/>
    <w:rsid w:val="00803C53"/>
    <w:rsid w:val="00803E56"/>
    <w:rsid w:val="00803FD4"/>
    <w:rsid w:val="00804081"/>
    <w:rsid w:val="0080481B"/>
    <w:rsid w:val="00804AFF"/>
    <w:rsid w:val="00804D9D"/>
    <w:rsid w:val="00804E40"/>
    <w:rsid w:val="0080531A"/>
    <w:rsid w:val="00806F18"/>
    <w:rsid w:val="00807645"/>
    <w:rsid w:val="008078B8"/>
    <w:rsid w:val="00810078"/>
    <w:rsid w:val="00810852"/>
    <w:rsid w:val="008109EA"/>
    <w:rsid w:val="00811248"/>
    <w:rsid w:val="00811259"/>
    <w:rsid w:val="00811279"/>
    <w:rsid w:val="00811349"/>
    <w:rsid w:val="00811A87"/>
    <w:rsid w:val="008124CA"/>
    <w:rsid w:val="008129A1"/>
    <w:rsid w:val="008137F5"/>
    <w:rsid w:val="00813CA1"/>
    <w:rsid w:val="008142B9"/>
    <w:rsid w:val="008144BD"/>
    <w:rsid w:val="0081601E"/>
    <w:rsid w:val="008160A9"/>
    <w:rsid w:val="008168DB"/>
    <w:rsid w:val="00816FE0"/>
    <w:rsid w:val="00817C5C"/>
    <w:rsid w:val="00817C63"/>
    <w:rsid w:val="00817F26"/>
    <w:rsid w:val="00820CDE"/>
    <w:rsid w:val="00821819"/>
    <w:rsid w:val="00822130"/>
    <w:rsid w:val="00822769"/>
    <w:rsid w:val="008228FF"/>
    <w:rsid w:val="00822A5F"/>
    <w:rsid w:val="008237AF"/>
    <w:rsid w:val="008238F3"/>
    <w:rsid w:val="00824A48"/>
    <w:rsid w:val="008255D1"/>
    <w:rsid w:val="00825AF1"/>
    <w:rsid w:val="00826D93"/>
    <w:rsid w:val="008274CC"/>
    <w:rsid w:val="00830384"/>
    <w:rsid w:val="00830AF8"/>
    <w:rsid w:val="008316BD"/>
    <w:rsid w:val="008340CB"/>
    <w:rsid w:val="00835619"/>
    <w:rsid w:val="008365B2"/>
    <w:rsid w:val="00836896"/>
    <w:rsid w:val="008369C3"/>
    <w:rsid w:val="00836C20"/>
    <w:rsid w:val="008414F8"/>
    <w:rsid w:val="0084151A"/>
    <w:rsid w:val="00842188"/>
    <w:rsid w:val="008421DD"/>
    <w:rsid w:val="008422D7"/>
    <w:rsid w:val="00842F8E"/>
    <w:rsid w:val="0084313A"/>
    <w:rsid w:val="0084325B"/>
    <w:rsid w:val="008436BF"/>
    <w:rsid w:val="00843AFF"/>
    <w:rsid w:val="008458D6"/>
    <w:rsid w:val="008459F1"/>
    <w:rsid w:val="00846582"/>
    <w:rsid w:val="00847181"/>
    <w:rsid w:val="00850330"/>
    <w:rsid w:val="00850BE0"/>
    <w:rsid w:val="0085112C"/>
    <w:rsid w:val="00851DC2"/>
    <w:rsid w:val="00851DE7"/>
    <w:rsid w:val="00852875"/>
    <w:rsid w:val="0085373B"/>
    <w:rsid w:val="00853E3A"/>
    <w:rsid w:val="00853F82"/>
    <w:rsid w:val="00854CA1"/>
    <w:rsid w:val="0085622D"/>
    <w:rsid w:val="008568BF"/>
    <w:rsid w:val="0086000D"/>
    <w:rsid w:val="00860685"/>
    <w:rsid w:val="00861912"/>
    <w:rsid w:val="008620B3"/>
    <w:rsid w:val="0086262A"/>
    <w:rsid w:val="00862DB2"/>
    <w:rsid w:val="00863490"/>
    <w:rsid w:val="00863670"/>
    <w:rsid w:val="0086436E"/>
    <w:rsid w:val="00864B4B"/>
    <w:rsid w:val="00864D1C"/>
    <w:rsid w:val="0086514A"/>
    <w:rsid w:val="0086528B"/>
    <w:rsid w:val="00865BDA"/>
    <w:rsid w:val="00865C60"/>
    <w:rsid w:val="00865E7B"/>
    <w:rsid w:val="008662E0"/>
    <w:rsid w:val="008664AF"/>
    <w:rsid w:val="00866F3F"/>
    <w:rsid w:val="00867AE8"/>
    <w:rsid w:val="00867BDE"/>
    <w:rsid w:val="00870B68"/>
    <w:rsid w:val="00871020"/>
    <w:rsid w:val="0087118F"/>
    <w:rsid w:val="00871D1B"/>
    <w:rsid w:val="00872950"/>
    <w:rsid w:val="00872EDA"/>
    <w:rsid w:val="008734B7"/>
    <w:rsid w:val="00873E7B"/>
    <w:rsid w:val="00874B1A"/>
    <w:rsid w:val="008750D2"/>
    <w:rsid w:val="0087587E"/>
    <w:rsid w:val="00876DBB"/>
    <w:rsid w:val="00877158"/>
    <w:rsid w:val="00877F0F"/>
    <w:rsid w:val="00880118"/>
    <w:rsid w:val="00880BA4"/>
    <w:rsid w:val="00881027"/>
    <w:rsid w:val="00881646"/>
    <w:rsid w:val="00881775"/>
    <w:rsid w:val="00881C42"/>
    <w:rsid w:val="00882572"/>
    <w:rsid w:val="00882CBF"/>
    <w:rsid w:val="00883264"/>
    <w:rsid w:val="0088360B"/>
    <w:rsid w:val="0088400A"/>
    <w:rsid w:val="00884600"/>
    <w:rsid w:val="008848D6"/>
    <w:rsid w:val="00885679"/>
    <w:rsid w:val="00886585"/>
    <w:rsid w:val="0088700C"/>
    <w:rsid w:val="0088777D"/>
    <w:rsid w:val="008877B7"/>
    <w:rsid w:val="00887A4B"/>
    <w:rsid w:val="00887F75"/>
    <w:rsid w:val="00890780"/>
    <w:rsid w:val="0089199F"/>
    <w:rsid w:val="00891C15"/>
    <w:rsid w:val="0089204B"/>
    <w:rsid w:val="00892DE7"/>
    <w:rsid w:val="008936A9"/>
    <w:rsid w:val="00893C3A"/>
    <w:rsid w:val="00895379"/>
    <w:rsid w:val="008957DB"/>
    <w:rsid w:val="008958FB"/>
    <w:rsid w:val="008959E8"/>
    <w:rsid w:val="00896CE0"/>
    <w:rsid w:val="008971C4"/>
    <w:rsid w:val="008977E8"/>
    <w:rsid w:val="00897985"/>
    <w:rsid w:val="00897C81"/>
    <w:rsid w:val="00897F3C"/>
    <w:rsid w:val="008A0211"/>
    <w:rsid w:val="008A12E6"/>
    <w:rsid w:val="008A237A"/>
    <w:rsid w:val="008A250E"/>
    <w:rsid w:val="008A3A56"/>
    <w:rsid w:val="008A4457"/>
    <w:rsid w:val="008A46D3"/>
    <w:rsid w:val="008A4FB5"/>
    <w:rsid w:val="008A5170"/>
    <w:rsid w:val="008A754D"/>
    <w:rsid w:val="008A785E"/>
    <w:rsid w:val="008A79C7"/>
    <w:rsid w:val="008A7E71"/>
    <w:rsid w:val="008B00C6"/>
    <w:rsid w:val="008B023A"/>
    <w:rsid w:val="008B08E8"/>
    <w:rsid w:val="008B12E4"/>
    <w:rsid w:val="008B1931"/>
    <w:rsid w:val="008B1BBC"/>
    <w:rsid w:val="008B21F0"/>
    <w:rsid w:val="008B29E5"/>
    <w:rsid w:val="008B3517"/>
    <w:rsid w:val="008B372F"/>
    <w:rsid w:val="008B3C39"/>
    <w:rsid w:val="008B3E6B"/>
    <w:rsid w:val="008B470B"/>
    <w:rsid w:val="008B4ACE"/>
    <w:rsid w:val="008B5B14"/>
    <w:rsid w:val="008B5D25"/>
    <w:rsid w:val="008B5D5C"/>
    <w:rsid w:val="008B6730"/>
    <w:rsid w:val="008B791C"/>
    <w:rsid w:val="008B7E49"/>
    <w:rsid w:val="008C0FBC"/>
    <w:rsid w:val="008C1E33"/>
    <w:rsid w:val="008C2B47"/>
    <w:rsid w:val="008C2DB5"/>
    <w:rsid w:val="008C3ACC"/>
    <w:rsid w:val="008C3E5A"/>
    <w:rsid w:val="008C3F61"/>
    <w:rsid w:val="008C4BC4"/>
    <w:rsid w:val="008C582D"/>
    <w:rsid w:val="008C583B"/>
    <w:rsid w:val="008C5C31"/>
    <w:rsid w:val="008C5FED"/>
    <w:rsid w:val="008C6503"/>
    <w:rsid w:val="008C68D6"/>
    <w:rsid w:val="008C6AFE"/>
    <w:rsid w:val="008D3522"/>
    <w:rsid w:val="008D372D"/>
    <w:rsid w:val="008D4019"/>
    <w:rsid w:val="008D406E"/>
    <w:rsid w:val="008D43F6"/>
    <w:rsid w:val="008D4F28"/>
    <w:rsid w:val="008D543C"/>
    <w:rsid w:val="008D56C7"/>
    <w:rsid w:val="008D5B7D"/>
    <w:rsid w:val="008D79B1"/>
    <w:rsid w:val="008D7AC7"/>
    <w:rsid w:val="008D7C45"/>
    <w:rsid w:val="008D7CA7"/>
    <w:rsid w:val="008E05C6"/>
    <w:rsid w:val="008E08CB"/>
    <w:rsid w:val="008E0C96"/>
    <w:rsid w:val="008E1D1D"/>
    <w:rsid w:val="008E290E"/>
    <w:rsid w:val="008E2E43"/>
    <w:rsid w:val="008E38E6"/>
    <w:rsid w:val="008E4056"/>
    <w:rsid w:val="008E429E"/>
    <w:rsid w:val="008E4604"/>
    <w:rsid w:val="008E4714"/>
    <w:rsid w:val="008E4AC7"/>
    <w:rsid w:val="008E4AEE"/>
    <w:rsid w:val="008E5495"/>
    <w:rsid w:val="008E55BE"/>
    <w:rsid w:val="008F0629"/>
    <w:rsid w:val="008F0EDE"/>
    <w:rsid w:val="008F14E4"/>
    <w:rsid w:val="008F1F1C"/>
    <w:rsid w:val="008F229D"/>
    <w:rsid w:val="008F27C3"/>
    <w:rsid w:val="008F3033"/>
    <w:rsid w:val="008F382C"/>
    <w:rsid w:val="008F3DD1"/>
    <w:rsid w:val="008F3F9A"/>
    <w:rsid w:val="008F5565"/>
    <w:rsid w:val="008F5CED"/>
    <w:rsid w:val="008F6598"/>
    <w:rsid w:val="008F696D"/>
    <w:rsid w:val="008F6C34"/>
    <w:rsid w:val="008F6CAB"/>
    <w:rsid w:val="008F79D7"/>
    <w:rsid w:val="008F7AFA"/>
    <w:rsid w:val="008F7DA6"/>
    <w:rsid w:val="00900AB5"/>
    <w:rsid w:val="00902554"/>
    <w:rsid w:val="009029F7"/>
    <w:rsid w:val="00903AC2"/>
    <w:rsid w:val="00903C7D"/>
    <w:rsid w:val="009044A8"/>
    <w:rsid w:val="009044D6"/>
    <w:rsid w:val="009045FE"/>
    <w:rsid w:val="009053C1"/>
    <w:rsid w:val="009053CE"/>
    <w:rsid w:val="009054BC"/>
    <w:rsid w:val="009055BA"/>
    <w:rsid w:val="00905A4C"/>
    <w:rsid w:val="0090605A"/>
    <w:rsid w:val="009061CC"/>
    <w:rsid w:val="0090689F"/>
    <w:rsid w:val="00906908"/>
    <w:rsid w:val="00907B5B"/>
    <w:rsid w:val="009102B9"/>
    <w:rsid w:val="009107AC"/>
    <w:rsid w:val="009107C7"/>
    <w:rsid w:val="0091124D"/>
    <w:rsid w:val="0091224D"/>
    <w:rsid w:val="00913B40"/>
    <w:rsid w:val="00913B87"/>
    <w:rsid w:val="00913C91"/>
    <w:rsid w:val="00913D3E"/>
    <w:rsid w:val="00915223"/>
    <w:rsid w:val="009155E2"/>
    <w:rsid w:val="00915DBF"/>
    <w:rsid w:val="009166DC"/>
    <w:rsid w:val="009178CC"/>
    <w:rsid w:val="00917990"/>
    <w:rsid w:val="00920B21"/>
    <w:rsid w:val="0092118B"/>
    <w:rsid w:val="009211A7"/>
    <w:rsid w:val="009212C6"/>
    <w:rsid w:val="00921771"/>
    <w:rsid w:val="009220B2"/>
    <w:rsid w:val="009220FE"/>
    <w:rsid w:val="009221F8"/>
    <w:rsid w:val="009223BE"/>
    <w:rsid w:val="00922B05"/>
    <w:rsid w:val="009244F7"/>
    <w:rsid w:val="0092480A"/>
    <w:rsid w:val="00924C2E"/>
    <w:rsid w:val="00924D50"/>
    <w:rsid w:val="00925A15"/>
    <w:rsid w:val="009260EE"/>
    <w:rsid w:val="00926413"/>
    <w:rsid w:val="00926695"/>
    <w:rsid w:val="00926698"/>
    <w:rsid w:val="00926B45"/>
    <w:rsid w:val="00927A92"/>
    <w:rsid w:val="0093061D"/>
    <w:rsid w:val="00930650"/>
    <w:rsid w:val="009316C7"/>
    <w:rsid w:val="009318CC"/>
    <w:rsid w:val="009322D6"/>
    <w:rsid w:val="00935503"/>
    <w:rsid w:val="0093627A"/>
    <w:rsid w:val="009376A0"/>
    <w:rsid w:val="009376FC"/>
    <w:rsid w:val="00937785"/>
    <w:rsid w:val="00940FD1"/>
    <w:rsid w:val="00941473"/>
    <w:rsid w:val="00941923"/>
    <w:rsid w:val="00941B5E"/>
    <w:rsid w:val="0094224C"/>
    <w:rsid w:val="0094224D"/>
    <w:rsid w:val="00942365"/>
    <w:rsid w:val="0094277C"/>
    <w:rsid w:val="0094291D"/>
    <w:rsid w:val="009429FB"/>
    <w:rsid w:val="00942A8D"/>
    <w:rsid w:val="00943267"/>
    <w:rsid w:val="00944943"/>
    <w:rsid w:val="009456F5"/>
    <w:rsid w:val="0094579A"/>
    <w:rsid w:val="0094653E"/>
    <w:rsid w:val="009469B3"/>
    <w:rsid w:val="00950249"/>
    <w:rsid w:val="00951021"/>
    <w:rsid w:val="009511C5"/>
    <w:rsid w:val="0095121B"/>
    <w:rsid w:val="00951AC7"/>
    <w:rsid w:val="00951E4E"/>
    <w:rsid w:val="0095347A"/>
    <w:rsid w:val="00955B72"/>
    <w:rsid w:val="00955D28"/>
    <w:rsid w:val="009568EF"/>
    <w:rsid w:val="00956976"/>
    <w:rsid w:val="00956AC6"/>
    <w:rsid w:val="00957716"/>
    <w:rsid w:val="00957980"/>
    <w:rsid w:val="00960A63"/>
    <w:rsid w:val="00962D92"/>
    <w:rsid w:val="0096340B"/>
    <w:rsid w:val="0096366C"/>
    <w:rsid w:val="009638ED"/>
    <w:rsid w:val="009640CC"/>
    <w:rsid w:val="009646FD"/>
    <w:rsid w:val="00964917"/>
    <w:rsid w:val="00965119"/>
    <w:rsid w:val="00965E6F"/>
    <w:rsid w:val="009669B5"/>
    <w:rsid w:val="00966A13"/>
    <w:rsid w:val="00967265"/>
    <w:rsid w:val="00967F3E"/>
    <w:rsid w:val="0097005F"/>
    <w:rsid w:val="009703B8"/>
    <w:rsid w:val="009707FD"/>
    <w:rsid w:val="009711C4"/>
    <w:rsid w:val="0097211F"/>
    <w:rsid w:val="00972CF0"/>
    <w:rsid w:val="00973CC5"/>
    <w:rsid w:val="00973D74"/>
    <w:rsid w:val="0097539B"/>
    <w:rsid w:val="00975A34"/>
    <w:rsid w:val="00977603"/>
    <w:rsid w:val="00977AEC"/>
    <w:rsid w:val="00977C9B"/>
    <w:rsid w:val="009801AE"/>
    <w:rsid w:val="00980687"/>
    <w:rsid w:val="00980B6A"/>
    <w:rsid w:val="009814A4"/>
    <w:rsid w:val="00981646"/>
    <w:rsid w:val="0098212D"/>
    <w:rsid w:val="0098262A"/>
    <w:rsid w:val="0098267A"/>
    <w:rsid w:val="0098326D"/>
    <w:rsid w:val="00983781"/>
    <w:rsid w:val="00983A15"/>
    <w:rsid w:val="00983BA1"/>
    <w:rsid w:val="00983F03"/>
    <w:rsid w:val="00984095"/>
    <w:rsid w:val="00984273"/>
    <w:rsid w:val="009845C7"/>
    <w:rsid w:val="0098506A"/>
    <w:rsid w:val="009852E2"/>
    <w:rsid w:val="0098573D"/>
    <w:rsid w:val="009863A8"/>
    <w:rsid w:val="00986462"/>
    <w:rsid w:val="009866B9"/>
    <w:rsid w:val="009868A5"/>
    <w:rsid w:val="00986E22"/>
    <w:rsid w:val="00990A79"/>
    <w:rsid w:val="00990E30"/>
    <w:rsid w:val="00991172"/>
    <w:rsid w:val="00991ADA"/>
    <w:rsid w:val="00992343"/>
    <w:rsid w:val="00992397"/>
    <w:rsid w:val="00993568"/>
    <w:rsid w:val="009938A5"/>
    <w:rsid w:val="00993E5C"/>
    <w:rsid w:val="0099420F"/>
    <w:rsid w:val="009958C1"/>
    <w:rsid w:val="00996A22"/>
    <w:rsid w:val="00996C82"/>
    <w:rsid w:val="00996CC5"/>
    <w:rsid w:val="00996D54"/>
    <w:rsid w:val="009975F0"/>
    <w:rsid w:val="00997D37"/>
    <w:rsid w:val="009A0007"/>
    <w:rsid w:val="009A1DFC"/>
    <w:rsid w:val="009A27B8"/>
    <w:rsid w:val="009A32A2"/>
    <w:rsid w:val="009A34BE"/>
    <w:rsid w:val="009A36CE"/>
    <w:rsid w:val="009A3A62"/>
    <w:rsid w:val="009A3C73"/>
    <w:rsid w:val="009A445A"/>
    <w:rsid w:val="009A4CB4"/>
    <w:rsid w:val="009A503E"/>
    <w:rsid w:val="009A5618"/>
    <w:rsid w:val="009A5A12"/>
    <w:rsid w:val="009A5C7A"/>
    <w:rsid w:val="009A72B3"/>
    <w:rsid w:val="009A7D69"/>
    <w:rsid w:val="009B0E1B"/>
    <w:rsid w:val="009B0F92"/>
    <w:rsid w:val="009B1048"/>
    <w:rsid w:val="009B12DD"/>
    <w:rsid w:val="009B170D"/>
    <w:rsid w:val="009B333B"/>
    <w:rsid w:val="009B3E26"/>
    <w:rsid w:val="009B3FA6"/>
    <w:rsid w:val="009B457B"/>
    <w:rsid w:val="009B4F04"/>
    <w:rsid w:val="009B5571"/>
    <w:rsid w:val="009B58FD"/>
    <w:rsid w:val="009B7178"/>
    <w:rsid w:val="009B74B4"/>
    <w:rsid w:val="009B7B35"/>
    <w:rsid w:val="009B7C8D"/>
    <w:rsid w:val="009B7C98"/>
    <w:rsid w:val="009C0386"/>
    <w:rsid w:val="009C0748"/>
    <w:rsid w:val="009C0759"/>
    <w:rsid w:val="009C0D7A"/>
    <w:rsid w:val="009C0DD3"/>
    <w:rsid w:val="009C1EC5"/>
    <w:rsid w:val="009C35E1"/>
    <w:rsid w:val="009C4D4D"/>
    <w:rsid w:val="009C52EB"/>
    <w:rsid w:val="009C5348"/>
    <w:rsid w:val="009C5C8E"/>
    <w:rsid w:val="009C5F36"/>
    <w:rsid w:val="009C60E6"/>
    <w:rsid w:val="009C60EE"/>
    <w:rsid w:val="009C63FB"/>
    <w:rsid w:val="009C73D9"/>
    <w:rsid w:val="009D020B"/>
    <w:rsid w:val="009D0593"/>
    <w:rsid w:val="009D0A2C"/>
    <w:rsid w:val="009D0DF0"/>
    <w:rsid w:val="009D0E2B"/>
    <w:rsid w:val="009D142B"/>
    <w:rsid w:val="009D1F03"/>
    <w:rsid w:val="009D2A95"/>
    <w:rsid w:val="009D2C38"/>
    <w:rsid w:val="009D3046"/>
    <w:rsid w:val="009D3656"/>
    <w:rsid w:val="009D3758"/>
    <w:rsid w:val="009D3DE8"/>
    <w:rsid w:val="009D4CB8"/>
    <w:rsid w:val="009D4DCA"/>
    <w:rsid w:val="009D56C7"/>
    <w:rsid w:val="009D6425"/>
    <w:rsid w:val="009D7A1E"/>
    <w:rsid w:val="009D7BAF"/>
    <w:rsid w:val="009E039E"/>
    <w:rsid w:val="009E08F5"/>
    <w:rsid w:val="009E0906"/>
    <w:rsid w:val="009E1BF8"/>
    <w:rsid w:val="009E22AC"/>
    <w:rsid w:val="009E2E25"/>
    <w:rsid w:val="009E33AE"/>
    <w:rsid w:val="009E367D"/>
    <w:rsid w:val="009E38D5"/>
    <w:rsid w:val="009E39D5"/>
    <w:rsid w:val="009E3EE3"/>
    <w:rsid w:val="009E42D7"/>
    <w:rsid w:val="009E54DE"/>
    <w:rsid w:val="009E627A"/>
    <w:rsid w:val="009E7160"/>
    <w:rsid w:val="009E73CD"/>
    <w:rsid w:val="009E79B4"/>
    <w:rsid w:val="009F0193"/>
    <w:rsid w:val="009F0793"/>
    <w:rsid w:val="009F2860"/>
    <w:rsid w:val="009F2EBD"/>
    <w:rsid w:val="009F4349"/>
    <w:rsid w:val="009F46A3"/>
    <w:rsid w:val="009F4C24"/>
    <w:rsid w:val="009F4D44"/>
    <w:rsid w:val="009F4EF2"/>
    <w:rsid w:val="009F516D"/>
    <w:rsid w:val="009F63B5"/>
    <w:rsid w:val="009F72C1"/>
    <w:rsid w:val="00A003AA"/>
    <w:rsid w:val="00A004C7"/>
    <w:rsid w:val="00A007C4"/>
    <w:rsid w:val="00A00AB0"/>
    <w:rsid w:val="00A00B33"/>
    <w:rsid w:val="00A02363"/>
    <w:rsid w:val="00A024CD"/>
    <w:rsid w:val="00A026B5"/>
    <w:rsid w:val="00A02FFB"/>
    <w:rsid w:val="00A03464"/>
    <w:rsid w:val="00A0374B"/>
    <w:rsid w:val="00A04DCC"/>
    <w:rsid w:val="00A0598D"/>
    <w:rsid w:val="00A059E0"/>
    <w:rsid w:val="00A066B3"/>
    <w:rsid w:val="00A06C11"/>
    <w:rsid w:val="00A06FCD"/>
    <w:rsid w:val="00A07F91"/>
    <w:rsid w:val="00A10304"/>
    <w:rsid w:val="00A11218"/>
    <w:rsid w:val="00A1146E"/>
    <w:rsid w:val="00A12982"/>
    <w:rsid w:val="00A13F7F"/>
    <w:rsid w:val="00A14209"/>
    <w:rsid w:val="00A14CE9"/>
    <w:rsid w:val="00A15225"/>
    <w:rsid w:val="00A155FE"/>
    <w:rsid w:val="00A15D2F"/>
    <w:rsid w:val="00A15DFC"/>
    <w:rsid w:val="00A15E02"/>
    <w:rsid w:val="00A160DF"/>
    <w:rsid w:val="00A170F9"/>
    <w:rsid w:val="00A17557"/>
    <w:rsid w:val="00A204D5"/>
    <w:rsid w:val="00A21208"/>
    <w:rsid w:val="00A21514"/>
    <w:rsid w:val="00A21B7D"/>
    <w:rsid w:val="00A21F76"/>
    <w:rsid w:val="00A22277"/>
    <w:rsid w:val="00A22921"/>
    <w:rsid w:val="00A22FB1"/>
    <w:rsid w:val="00A23B51"/>
    <w:rsid w:val="00A24037"/>
    <w:rsid w:val="00A2410B"/>
    <w:rsid w:val="00A24123"/>
    <w:rsid w:val="00A24414"/>
    <w:rsid w:val="00A24E53"/>
    <w:rsid w:val="00A2520B"/>
    <w:rsid w:val="00A2546F"/>
    <w:rsid w:val="00A256BE"/>
    <w:rsid w:val="00A25AA6"/>
    <w:rsid w:val="00A262DF"/>
    <w:rsid w:val="00A267E1"/>
    <w:rsid w:val="00A269F3"/>
    <w:rsid w:val="00A2724A"/>
    <w:rsid w:val="00A27302"/>
    <w:rsid w:val="00A27BF6"/>
    <w:rsid w:val="00A300F0"/>
    <w:rsid w:val="00A30F6A"/>
    <w:rsid w:val="00A30FB9"/>
    <w:rsid w:val="00A325FE"/>
    <w:rsid w:val="00A33E4A"/>
    <w:rsid w:val="00A34712"/>
    <w:rsid w:val="00A348F5"/>
    <w:rsid w:val="00A34A30"/>
    <w:rsid w:val="00A34B0C"/>
    <w:rsid w:val="00A351A9"/>
    <w:rsid w:val="00A356FE"/>
    <w:rsid w:val="00A35718"/>
    <w:rsid w:val="00A36EBE"/>
    <w:rsid w:val="00A373B9"/>
    <w:rsid w:val="00A374B4"/>
    <w:rsid w:val="00A37921"/>
    <w:rsid w:val="00A379A5"/>
    <w:rsid w:val="00A37C6F"/>
    <w:rsid w:val="00A37CF7"/>
    <w:rsid w:val="00A4016A"/>
    <w:rsid w:val="00A40182"/>
    <w:rsid w:val="00A40A2E"/>
    <w:rsid w:val="00A4180F"/>
    <w:rsid w:val="00A435E9"/>
    <w:rsid w:val="00A43928"/>
    <w:rsid w:val="00A43F7E"/>
    <w:rsid w:val="00A44143"/>
    <w:rsid w:val="00A45062"/>
    <w:rsid w:val="00A45613"/>
    <w:rsid w:val="00A46501"/>
    <w:rsid w:val="00A46BE0"/>
    <w:rsid w:val="00A46D33"/>
    <w:rsid w:val="00A46EEF"/>
    <w:rsid w:val="00A47511"/>
    <w:rsid w:val="00A47F6E"/>
    <w:rsid w:val="00A47FC7"/>
    <w:rsid w:val="00A504E5"/>
    <w:rsid w:val="00A507C8"/>
    <w:rsid w:val="00A51906"/>
    <w:rsid w:val="00A52D00"/>
    <w:rsid w:val="00A5334E"/>
    <w:rsid w:val="00A54176"/>
    <w:rsid w:val="00A544B0"/>
    <w:rsid w:val="00A5474C"/>
    <w:rsid w:val="00A549B3"/>
    <w:rsid w:val="00A54D97"/>
    <w:rsid w:val="00A56020"/>
    <w:rsid w:val="00A56CC5"/>
    <w:rsid w:val="00A57043"/>
    <w:rsid w:val="00A57076"/>
    <w:rsid w:val="00A5753D"/>
    <w:rsid w:val="00A57991"/>
    <w:rsid w:val="00A57CA4"/>
    <w:rsid w:val="00A604D8"/>
    <w:rsid w:val="00A6143B"/>
    <w:rsid w:val="00A618E8"/>
    <w:rsid w:val="00A61C7D"/>
    <w:rsid w:val="00A6319D"/>
    <w:rsid w:val="00A6410A"/>
    <w:rsid w:val="00A6442E"/>
    <w:rsid w:val="00A64572"/>
    <w:rsid w:val="00A6509A"/>
    <w:rsid w:val="00A65E6C"/>
    <w:rsid w:val="00A67270"/>
    <w:rsid w:val="00A67659"/>
    <w:rsid w:val="00A70B2D"/>
    <w:rsid w:val="00A70ECB"/>
    <w:rsid w:val="00A7109F"/>
    <w:rsid w:val="00A72110"/>
    <w:rsid w:val="00A72E55"/>
    <w:rsid w:val="00A74437"/>
    <w:rsid w:val="00A74C30"/>
    <w:rsid w:val="00A74CCD"/>
    <w:rsid w:val="00A75F48"/>
    <w:rsid w:val="00A762C2"/>
    <w:rsid w:val="00A7669E"/>
    <w:rsid w:val="00A769FC"/>
    <w:rsid w:val="00A76B7E"/>
    <w:rsid w:val="00A77EC9"/>
    <w:rsid w:val="00A80B42"/>
    <w:rsid w:val="00A8155E"/>
    <w:rsid w:val="00A81A45"/>
    <w:rsid w:val="00A82745"/>
    <w:rsid w:val="00A82B51"/>
    <w:rsid w:val="00A82F35"/>
    <w:rsid w:val="00A837AE"/>
    <w:rsid w:val="00A83991"/>
    <w:rsid w:val="00A83B86"/>
    <w:rsid w:val="00A83D2F"/>
    <w:rsid w:val="00A84ECD"/>
    <w:rsid w:val="00A8594F"/>
    <w:rsid w:val="00A85C38"/>
    <w:rsid w:val="00A86536"/>
    <w:rsid w:val="00A86B4C"/>
    <w:rsid w:val="00A87AC1"/>
    <w:rsid w:val="00A9142C"/>
    <w:rsid w:val="00A91471"/>
    <w:rsid w:val="00A92691"/>
    <w:rsid w:val="00A92D5B"/>
    <w:rsid w:val="00A936DA"/>
    <w:rsid w:val="00A93713"/>
    <w:rsid w:val="00A94D2D"/>
    <w:rsid w:val="00A95944"/>
    <w:rsid w:val="00A95AD4"/>
    <w:rsid w:val="00A96A97"/>
    <w:rsid w:val="00A97E50"/>
    <w:rsid w:val="00A97F34"/>
    <w:rsid w:val="00AA019B"/>
    <w:rsid w:val="00AA0A33"/>
    <w:rsid w:val="00AA1F29"/>
    <w:rsid w:val="00AA2FE6"/>
    <w:rsid w:val="00AA3C76"/>
    <w:rsid w:val="00AA3F99"/>
    <w:rsid w:val="00AA44EA"/>
    <w:rsid w:val="00AA4570"/>
    <w:rsid w:val="00AA4AD2"/>
    <w:rsid w:val="00AA4C99"/>
    <w:rsid w:val="00AA55D3"/>
    <w:rsid w:val="00AA573F"/>
    <w:rsid w:val="00AA5794"/>
    <w:rsid w:val="00AA6960"/>
    <w:rsid w:val="00AA6BDD"/>
    <w:rsid w:val="00AA6C54"/>
    <w:rsid w:val="00AA7193"/>
    <w:rsid w:val="00AA720B"/>
    <w:rsid w:val="00AB0927"/>
    <w:rsid w:val="00AB15E4"/>
    <w:rsid w:val="00AB1836"/>
    <w:rsid w:val="00AB1845"/>
    <w:rsid w:val="00AB1E62"/>
    <w:rsid w:val="00AB259B"/>
    <w:rsid w:val="00AB2988"/>
    <w:rsid w:val="00AB2BBA"/>
    <w:rsid w:val="00AB3024"/>
    <w:rsid w:val="00AB3501"/>
    <w:rsid w:val="00AB4718"/>
    <w:rsid w:val="00AB5323"/>
    <w:rsid w:val="00AB75EC"/>
    <w:rsid w:val="00AC0E3E"/>
    <w:rsid w:val="00AC10C3"/>
    <w:rsid w:val="00AC1178"/>
    <w:rsid w:val="00AC12D3"/>
    <w:rsid w:val="00AC1E6F"/>
    <w:rsid w:val="00AC3246"/>
    <w:rsid w:val="00AC32BB"/>
    <w:rsid w:val="00AC3747"/>
    <w:rsid w:val="00AC4548"/>
    <w:rsid w:val="00AC492E"/>
    <w:rsid w:val="00AC4AB8"/>
    <w:rsid w:val="00AC4CF0"/>
    <w:rsid w:val="00AC5825"/>
    <w:rsid w:val="00AC77BE"/>
    <w:rsid w:val="00AD0F90"/>
    <w:rsid w:val="00AD1C45"/>
    <w:rsid w:val="00AD1D9D"/>
    <w:rsid w:val="00AD1DDC"/>
    <w:rsid w:val="00AD2AE9"/>
    <w:rsid w:val="00AD2C2A"/>
    <w:rsid w:val="00AD31A3"/>
    <w:rsid w:val="00AD3820"/>
    <w:rsid w:val="00AD3BCC"/>
    <w:rsid w:val="00AD4558"/>
    <w:rsid w:val="00AD4864"/>
    <w:rsid w:val="00AD6C1D"/>
    <w:rsid w:val="00AD6CAC"/>
    <w:rsid w:val="00AD774D"/>
    <w:rsid w:val="00AD7A2F"/>
    <w:rsid w:val="00AD7CFF"/>
    <w:rsid w:val="00AD7E8F"/>
    <w:rsid w:val="00AD7FC2"/>
    <w:rsid w:val="00AE01B1"/>
    <w:rsid w:val="00AE02C4"/>
    <w:rsid w:val="00AE0EF7"/>
    <w:rsid w:val="00AE19F9"/>
    <w:rsid w:val="00AE1A8E"/>
    <w:rsid w:val="00AE2AAA"/>
    <w:rsid w:val="00AE2D6C"/>
    <w:rsid w:val="00AE3248"/>
    <w:rsid w:val="00AE35D1"/>
    <w:rsid w:val="00AE4277"/>
    <w:rsid w:val="00AE444B"/>
    <w:rsid w:val="00AE44FA"/>
    <w:rsid w:val="00AE5147"/>
    <w:rsid w:val="00AE53E9"/>
    <w:rsid w:val="00AE55EE"/>
    <w:rsid w:val="00AE5733"/>
    <w:rsid w:val="00AE5749"/>
    <w:rsid w:val="00AE61F8"/>
    <w:rsid w:val="00AE6626"/>
    <w:rsid w:val="00AE691B"/>
    <w:rsid w:val="00AE6A8B"/>
    <w:rsid w:val="00AE6E76"/>
    <w:rsid w:val="00AE7BDB"/>
    <w:rsid w:val="00AF06BA"/>
    <w:rsid w:val="00AF1682"/>
    <w:rsid w:val="00AF188A"/>
    <w:rsid w:val="00AF19B4"/>
    <w:rsid w:val="00AF1E1B"/>
    <w:rsid w:val="00AF1FD4"/>
    <w:rsid w:val="00AF2204"/>
    <w:rsid w:val="00AF236F"/>
    <w:rsid w:val="00AF2823"/>
    <w:rsid w:val="00AF2F00"/>
    <w:rsid w:val="00AF3652"/>
    <w:rsid w:val="00AF3DAE"/>
    <w:rsid w:val="00AF4656"/>
    <w:rsid w:val="00AF5FFD"/>
    <w:rsid w:val="00AF6E0C"/>
    <w:rsid w:val="00AF778F"/>
    <w:rsid w:val="00AF788F"/>
    <w:rsid w:val="00AF7DEE"/>
    <w:rsid w:val="00B00FB8"/>
    <w:rsid w:val="00B01965"/>
    <w:rsid w:val="00B01E6C"/>
    <w:rsid w:val="00B024CC"/>
    <w:rsid w:val="00B02668"/>
    <w:rsid w:val="00B026BF"/>
    <w:rsid w:val="00B02EF9"/>
    <w:rsid w:val="00B0308B"/>
    <w:rsid w:val="00B03C91"/>
    <w:rsid w:val="00B03CDA"/>
    <w:rsid w:val="00B0499F"/>
    <w:rsid w:val="00B04F91"/>
    <w:rsid w:val="00B05385"/>
    <w:rsid w:val="00B05875"/>
    <w:rsid w:val="00B065A7"/>
    <w:rsid w:val="00B079E2"/>
    <w:rsid w:val="00B07B5E"/>
    <w:rsid w:val="00B07F55"/>
    <w:rsid w:val="00B1061F"/>
    <w:rsid w:val="00B107F7"/>
    <w:rsid w:val="00B10E66"/>
    <w:rsid w:val="00B10F82"/>
    <w:rsid w:val="00B11F62"/>
    <w:rsid w:val="00B12CB2"/>
    <w:rsid w:val="00B13096"/>
    <w:rsid w:val="00B1327F"/>
    <w:rsid w:val="00B13792"/>
    <w:rsid w:val="00B141B5"/>
    <w:rsid w:val="00B143D4"/>
    <w:rsid w:val="00B1458F"/>
    <w:rsid w:val="00B14D08"/>
    <w:rsid w:val="00B1593D"/>
    <w:rsid w:val="00B16026"/>
    <w:rsid w:val="00B16227"/>
    <w:rsid w:val="00B16B4B"/>
    <w:rsid w:val="00B17072"/>
    <w:rsid w:val="00B2034C"/>
    <w:rsid w:val="00B20573"/>
    <w:rsid w:val="00B209FC"/>
    <w:rsid w:val="00B212E1"/>
    <w:rsid w:val="00B21EC7"/>
    <w:rsid w:val="00B22FC8"/>
    <w:rsid w:val="00B23A5B"/>
    <w:rsid w:val="00B23E36"/>
    <w:rsid w:val="00B247A7"/>
    <w:rsid w:val="00B247BD"/>
    <w:rsid w:val="00B25060"/>
    <w:rsid w:val="00B26320"/>
    <w:rsid w:val="00B266C7"/>
    <w:rsid w:val="00B277DA"/>
    <w:rsid w:val="00B27956"/>
    <w:rsid w:val="00B27B08"/>
    <w:rsid w:val="00B30FE9"/>
    <w:rsid w:val="00B3121F"/>
    <w:rsid w:val="00B31494"/>
    <w:rsid w:val="00B319A7"/>
    <w:rsid w:val="00B32002"/>
    <w:rsid w:val="00B324CC"/>
    <w:rsid w:val="00B32765"/>
    <w:rsid w:val="00B327F2"/>
    <w:rsid w:val="00B32C4D"/>
    <w:rsid w:val="00B32F30"/>
    <w:rsid w:val="00B33277"/>
    <w:rsid w:val="00B333A5"/>
    <w:rsid w:val="00B333F1"/>
    <w:rsid w:val="00B3376F"/>
    <w:rsid w:val="00B34565"/>
    <w:rsid w:val="00B34CC1"/>
    <w:rsid w:val="00B350CD"/>
    <w:rsid w:val="00B35CBB"/>
    <w:rsid w:val="00B35EBC"/>
    <w:rsid w:val="00B36493"/>
    <w:rsid w:val="00B36B09"/>
    <w:rsid w:val="00B37028"/>
    <w:rsid w:val="00B37179"/>
    <w:rsid w:val="00B371AD"/>
    <w:rsid w:val="00B375CF"/>
    <w:rsid w:val="00B402D0"/>
    <w:rsid w:val="00B4198F"/>
    <w:rsid w:val="00B41B43"/>
    <w:rsid w:val="00B41E05"/>
    <w:rsid w:val="00B4248D"/>
    <w:rsid w:val="00B42BD8"/>
    <w:rsid w:val="00B43340"/>
    <w:rsid w:val="00B453BE"/>
    <w:rsid w:val="00B453C2"/>
    <w:rsid w:val="00B45E56"/>
    <w:rsid w:val="00B4633D"/>
    <w:rsid w:val="00B463F2"/>
    <w:rsid w:val="00B47517"/>
    <w:rsid w:val="00B476F7"/>
    <w:rsid w:val="00B477C2"/>
    <w:rsid w:val="00B47B53"/>
    <w:rsid w:val="00B47FCF"/>
    <w:rsid w:val="00B50A9E"/>
    <w:rsid w:val="00B50E38"/>
    <w:rsid w:val="00B51AF8"/>
    <w:rsid w:val="00B5228E"/>
    <w:rsid w:val="00B52851"/>
    <w:rsid w:val="00B529AB"/>
    <w:rsid w:val="00B53B4F"/>
    <w:rsid w:val="00B53E8E"/>
    <w:rsid w:val="00B54408"/>
    <w:rsid w:val="00B54F0E"/>
    <w:rsid w:val="00B55180"/>
    <w:rsid w:val="00B55D16"/>
    <w:rsid w:val="00B55DB4"/>
    <w:rsid w:val="00B55F72"/>
    <w:rsid w:val="00B56101"/>
    <w:rsid w:val="00B56745"/>
    <w:rsid w:val="00B56983"/>
    <w:rsid w:val="00B576C6"/>
    <w:rsid w:val="00B57983"/>
    <w:rsid w:val="00B57C07"/>
    <w:rsid w:val="00B60CE4"/>
    <w:rsid w:val="00B6128B"/>
    <w:rsid w:val="00B615F8"/>
    <w:rsid w:val="00B61D60"/>
    <w:rsid w:val="00B628F3"/>
    <w:rsid w:val="00B63A49"/>
    <w:rsid w:val="00B63F72"/>
    <w:rsid w:val="00B64027"/>
    <w:rsid w:val="00B64B05"/>
    <w:rsid w:val="00B64B24"/>
    <w:rsid w:val="00B6579C"/>
    <w:rsid w:val="00B65E45"/>
    <w:rsid w:val="00B66286"/>
    <w:rsid w:val="00B667E8"/>
    <w:rsid w:val="00B6739E"/>
    <w:rsid w:val="00B6763F"/>
    <w:rsid w:val="00B67665"/>
    <w:rsid w:val="00B70D73"/>
    <w:rsid w:val="00B73017"/>
    <w:rsid w:val="00B7315F"/>
    <w:rsid w:val="00B742EE"/>
    <w:rsid w:val="00B75E3C"/>
    <w:rsid w:val="00B764E2"/>
    <w:rsid w:val="00B768E4"/>
    <w:rsid w:val="00B7695A"/>
    <w:rsid w:val="00B76A82"/>
    <w:rsid w:val="00B77081"/>
    <w:rsid w:val="00B774F7"/>
    <w:rsid w:val="00B77A6C"/>
    <w:rsid w:val="00B802EF"/>
    <w:rsid w:val="00B80441"/>
    <w:rsid w:val="00B80CE8"/>
    <w:rsid w:val="00B80E72"/>
    <w:rsid w:val="00B815FB"/>
    <w:rsid w:val="00B81C5F"/>
    <w:rsid w:val="00B8203A"/>
    <w:rsid w:val="00B82298"/>
    <w:rsid w:val="00B8285F"/>
    <w:rsid w:val="00B838EF"/>
    <w:rsid w:val="00B83A61"/>
    <w:rsid w:val="00B83AA4"/>
    <w:rsid w:val="00B83C12"/>
    <w:rsid w:val="00B853F3"/>
    <w:rsid w:val="00B85936"/>
    <w:rsid w:val="00B86969"/>
    <w:rsid w:val="00B86A27"/>
    <w:rsid w:val="00B86FDB"/>
    <w:rsid w:val="00B90B34"/>
    <w:rsid w:val="00B911AC"/>
    <w:rsid w:val="00B91742"/>
    <w:rsid w:val="00B91AC2"/>
    <w:rsid w:val="00B922F0"/>
    <w:rsid w:val="00B927A1"/>
    <w:rsid w:val="00B92C3D"/>
    <w:rsid w:val="00B93318"/>
    <w:rsid w:val="00B93419"/>
    <w:rsid w:val="00B93576"/>
    <w:rsid w:val="00B938C3"/>
    <w:rsid w:val="00B94227"/>
    <w:rsid w:val="00B94229"/>
    <w:rsid w:val="00B94695"/>
    <w:rsid w:val="00B94880"/>
    <w:rsid w:val="00B94C21"/>
    <w:rsid w:val="00B94E1A"/>
    <w:rsid w:val="00B9570F"/>
    <w:rsid w:val="00B961B0"/>
    <w:rsid w:val="00B969E9"/>
    <w:rsid w:val="00B96DA5"/>
    <w:rsid w:val="00B97025"/>
    <w:rsid w:val="00B97096"/>
    <w:rsid w:val="00B976C5"/>
    <w:rsid w:val="00B978AB"/>
    <w:rsid w:val="00B97908"/>
    <w:rsid w:val="00B97950"/>
    <w:rsid w:val="00B97A19"/>
    <w:rsid w:val="00B97A64"/>
    <w:rsid w:val="00B97E20"/>
    <w:rsid w:val="00B97E79"/>
    <w:rsid w:val="00BA02B8"/>
    <w:rsid w:val="00BA0360"/>
    <w:rsid w:val="00BA1B49"/>
    <w:rsid w:val="00BA223C"/>
    <w:rsid w:val="00BA275E"/>
    <w:rsid w:val="00BA278A"/>
    <w:rsid w:val="00BA279B"/>
    <w:rsid w:val="00BA2F2D"/>
    <w:rsid w:val="00BA347D"/>
    <w:rsid w:val="00BA37BA"/>
    <w:rsid w:val="00BA3866"/>
    <w:rsid w:val="00BA484D"/>
    <w:rsid w:val="00BA48EB"/>
    <w:rsid w:val="00BA497B"/>
    <w:rsid w:val="00BA49DF"/>
    <w:rsid w:val="00BA4A4A"/>
    <w:rsid w:val="00BA559B"/>
    <w:rsid w:val="00BA789A"/>
    <w:rsid w:val="00BA7C66"/>
    <w:rsid w:val="00BB073E"/>
    <w:rsid w:val="00BB0B08"/>
    <w:rsid w:val="00BB0C7F"/>
    <w:rsid w:val="00BB1B20"/>
    <w:rsid w:val="00BB3439"/>
    <w:rsid w:val="00BB397D"/>
    <w:rsid w:val="00BB3EF2"/>
    <w:rsid w:val="00BB5ABC"/>
    <w:rsid w:val="00BB6D61"/>
    <w:rsid w:val="00BB725B"/>
    <w:rsid w:val="00BC0156"/>
    <w:rsid w:val="00BC02FA"/>
    <w:rsid w:val="00BC0CFD"/>
    <w:rsid w:val="00BC31C4"/>
    <w:rsid w:val="00BC349F"/>
    <w:rsid w:val="00BC513C"/>
    <w:rsid w:val="00BC664E"/>
    <w:rsid w:val="00BC7970"/>
    <w:rsid w:val="00BD001B"/>
    <w:rsid w:val="00BD06FB"/>
    <w:rsid w:val="00BD12BD"/>
    <w:rsid w:val="00BD2ED1"/>
    <w:rsid w:val="00BD33E3"/>
    <w:rsid w:val="00BD4596"/>
    <w:rsid w:val="00BD5B81"/>
    <w:rsid w:val="00BD5D2C"/>
    <w:rsid w:val="00BD6EE3"/>
    <w:rsid w:val="00BD75B3"/>
    <w:rsid w:val="00BE0CCB"/>
    <w:rsid w:val="00BE1915"/>
    <w:rsid w:val="00BE1EC4"/>
    <w:rsid w:val="00BE2114"/>
    <w:rsid w:val="00BE21A2"/>
    <w:rsid w:val="00BE2B01"/>
    <w:rsid w:val="00BE2D00"/>
    <w:rsid w:val="00BE3011"/>
    <w:rsid w:val="00BE3573"/>
    <w:rsid w:val="00BE3714"/>
    <w:rsid w:val="00BE403F"/>
    <w:rsid w:val="00BE4636"/>
    <w:rsid w:val="00BE4804"/>
    <w:rsid w:val="00BE49F8"/>
    <w:rsid w:val="00BE4A1B"/>
    <w:rsid w:val="00BE4F05"/>
    <w:rsid w:val="00BE5AED"/>
    <w:rsid w:val="00BE6079"/>
    <w:rsid w:val="00BE6251"/>
    <w:rsid w:val="00BE67D2"/>
    <w:rsid w:val="00BE7B0C"/>
    <w:rsid w:val="00BF0286"/>
    <w:rsid w:val="00BF05B4"/>
    <w:rsid w:val="00BF0C6C"/>
    <w:rsid w:val="00BF0F1C"/>
    <w:rsid w:val="00BF19FB"/>
    <w:rsid w:val="00BF1B1E"/>
    <w:rsid w:val="00BF2295"/>
    <w:rsid w:val="00BF26F0"/>
    <w:rsid w:val="00BF3544"/>
    <w:rsid w:val="00BF48D2"/>
    <w:rsid w:val="00BF4B7C"/>
    <w:rsid w:val="00BF4C9D"/>
    <w:rsid w:val="00BF4E5C"/>
    <w:rsid w:val="00BF5674"/>
    <w:rsid w:val="00BF57F9"/>
    <w:rsid w:val="00BF665A"/>
    <w:rsid w:val="00BF6882"/>
    <w:rsid w:val="00BF6C4A"/>
    <w:rsid w:val="00BF6ED2"/>
    <w:rsid w:val="00BF6EDD"/>
    <w:rsid w:val="00BF7941"/>
    <w:rsid w:val="00C005C7"/>
    <w:rsid w:val="00C011DF"/>
    <w:rsid w:val="00C0121F"/>
    <w:rsid w:val="00C014F9"/>
    <w:rsid w:val="00C017EC"/>
    <w:rsid w:val="00C0185E"/>
    <w:rsid w:val="00C01F7D"/>
    <w:rsid w:val="00C02D78"/>
    <w:rsid w:val="00C034B2"/>
    <w:rsid w:val="00C04E3D"/>
    <w:rsid w:val="00C0636D"/>
    <w:rsid w:val="00C06AE4"/>
    <w:rsid w:val="00C06B6F"/>
    <w:rsid w:val="00C06D56"/>
    <w:rsid w:val="00C07444"/>
    <w:rsid w:val="00C0784B"/>
    <w:rsid w:val="00C07A34"/>
    <w:rsid w:val="00C10026"/>
    <w:rsid w:val="00C11671"/>
    <w:rsid w:val="00C1183C"/>
    <w:rsid w:val="00C11E4A"/>
    <w:rsid w:val="00C13817"/>
    <w:rsid w:val="00C138C5"/>
    <w:rsid w:val="00C13A8F"/>
    <w:rsid w:val="00C13BC3"/>
    <w:rsid w:val="00C1401D"/>
    <w:rsid w:val="00C14482"/>
    <w:rsid w:val="00C15320"/>
    <w:rsid w:val="00C156DD"/>
    <w:rsid w:val="00C15E79"/>
    <w:rsid w:val="00C16092"/>
    <w:rsid w:val="00C16ABB"/>
    <w:rsid w:val="00C16D55"/>
    <w:rsid w:val="00C16EC7"/>
    <w:rsid w:val="00C17299"/>
    <w:rsid w:val="00C179DE"/>
    <w:rsid w:val="00C20788"/>
    <w:rsid w:val="00C21F3F"/>
    <w:rsid w:val="00C22BDA"/>
    <w:rsid w:val="00C23306"/>
    <w:rsid w:val="00C2390D"/>
    <w:rsid w:val="00C23D26"/>
    <w:rsid w:val="00C246A9"/>
    <w:rsid w:val="00C24910"/>
    <w:rsid w:val="00C24C94"/>
    <w:rsid w:val="00C2541D"/>
    <w:rsid w:val="00C27613"/>
    <w:rsid w:val="00C27838"/>
    <w:rsid w:val="00C27911"/>
    <w:rsid w:val="00C27A24"/>
    <w:rsid w:val="00C27E98"/>
    <w:rsid w:val="00C30321"/>
    <w:rsid w:val="00C30AED"/>
    <w:rsid w:val="00C317D5"/>
    <w:rsid w:val="00C31A72"/>
    <w:rsid w:val="00C32780"/>
    <w:rsid w:val="00C327F2"/>
    <w:rsid w:val="00C33013"/>
    <w:rsid w:val="00C3357B"/>
    <w:rsid w:val="00C33ACC"/>
    <w:rsid w:val="00C33ED7"/>
    <w:rsid w:val="00C33F87"/>
    <w:rsid w:val="00C34732"/>
    <w:rsid w:val="00C34EF0"/>
    <w:rsid w:val="00C34FD3"/>
    <w:rsid w:val="00C35121"/>
    <w:rsid w:val="00C35695"/>
    <w:rsid w:val="00C3575E"/>
    <w:rsid w:val="00C35778"/>
    <w:rsid w:val="00C3593A"/>
    <w:rsid w:val="00C35BD5"/>
    <w:rsid w:val="00C35CD5"/>
    <w:rsid w:val="00C35CD7"/>
    <w:rsid w:val="00C35FDB"/>
    <w:rsid w:val="00C3670B"/>
    <w:rsid w:val="00C370BD"/>
    <w:rsid w:val="00C37331"/>
    <w:rsid w:val="00C37B57"/>
    <w:rsid w:val="00C37C0F"/>
    <w:rsid w:val="00C37D3E"/>
    <w:rsid w:val="00C40126"/>
    <w:rsid w:val="00C406D5"/>
    <w:rsid w:val="00C406EE"/>
    <w:rsid w:val="00C40FA0"/>
    <w:rsid w:val="00C411B9"/>
    <w:rsid w:val="00C41E24"/>
    <w:rsid w:val="00C4293B"/>
    <w:rsid w:val="00C43630"/>
    <w:rsid w:val="00C4369C"/>
    <w:rsid w:val="00C43F92"/>
    <w:rsid w:val="00C44211"/>
    <w:rsid w:val="00C45123"/>
    <w:rsid w:val="00C455AE"/>
    <w:rsid w:val="00C45CD0"/>
    <w:rsid w:val="00C46107"/>
    <w:rsid w:val="00C4616B"/>
    <w:rsid w:val="00C4661F"/>
    <w:rsid w:val="00C473A7"/>
    <w:rsid w:val="00C47A37"/>
    <w:rsid w:val="00C47EC2"/>
    <w:rsid w:val="00C50013"/>
    <w:rsid w:val="00C50097"/>
    <w:rsid w:val="00C50CE7"/>
    <w:rsid w:val="00C510B2"/>
    <w:rsid w:val="00C534B0"/>
    <w:rsid w:val="00C53759"/>
    <w:rsid w:val="00C5404C"/>
    <w:rsid w:val="00C54E0A"/>
    <w:rsid w:val="00C5520F"/>
    <w:rsid w:val="00C566CA"/>
    <w:rsid w:val="00C56C97"/>
    <w:rsid w:val="00C56D23"/>
    <w:rsid w:val="00C56F85"/>
    <w:rsid w:val="00C578D6"/>
    <w:rsid w:val="00C60579"/>
    <w:rsid w:val="00C606A2"/>
    <w:rsid w:val="00C60F7C"/>
    <w:rsid w:val="00C619E8"/>
    <w:rsid w:val="00C62F66"/>
    <w:rsid w:val="00C6347C"/>
    <w:rsid w:val="00C635BC"/>
    <w:rsid w:val="00C63F77"/>
    <w:rsid w:val="00C64C00"/>
    <w:rsid w:val="00C64E5F"/>
    <w:rsid w:val="00C65643"/>
    <w:rsid w:val="00C657DC"/>
    <w:rsid w:val="00C65AD9"/>
    <w:rsid w:val="00C66009"/>
    <w:rsid w:val="00C66AE0"/>
    <w:rsid w:val="00C66B42"/>
    <w:rsid w:val="00C66BDA"/>
    <w:rsid w:val="00C67906"/>
    <w:rsid w:val="00C67C9E"/>
    <w:rsid w:val="00C7020C"/>
    <w:rsid w:val="00C7112B"/>
    <w:rsid w:val="00C72431"/>
    <w:rsid w:val="00C724B0"/>
    <w:rsid w:val="00C72636"/>
    <w:rsid w:val="00C72A1A"/>
    <w:rsid w:val="00C731EE"/>
    <w:rsid w:val="00C73518"/>
    <w:rsid w:val="00C73DD6"/>
    <w:rsid w:val="00C7446E"/>
    <w:rsid w:val="00C74EF4"/>
    <w:rsid w:val="00C756EB"/>
    <w:rsid w:val="00C763D5"/>
    <w:rsid w:val="00C771EB"/>
    <w:rsid w:val="00C77B56"/>
    <w:rsid w:val="00C77DB5"/>
    <w:rsid w:val="00C80BFC"/>
    <w:rsid w:val="00C80C49"/>
    <w:rsid w:val="00C816A4"/>
    <w:rsid w:val="00C845C2"/>
    <w:rsid w:val="00C8538A"/>
    <w:rsid w:val="00C85B2D"/>
    <w:rsid w:val="00C85F4C"/>
    <w:rsid w:val="00C85F8E"/>
    <w:rsid w:val="00C87452"/>
    <w:rsid w:val="00C87D69"/>
    <w:rsid w:val="00C87FA2"/>
    <w:rsid w:val="00C9016E"/>
    <w:rsid w:val="00C9028B"/>
    <w:rsid w:val="00C90700"/>
    <w:rsid w:val="00C90ED2"/>
    <w:rsid w:val="00C9176C"/>
    <w:rsid w:val="00C9194C"/>
    <w:rsid w:val="00C923E5"/>
    <w:rsid w:val="00C92421"/>
    <w:rsid w:val="00C92A3C"/>
    <w:rsid w:val="00C93488"/>
    <w:rsid w:val="00C9360B"/>
    <w:rsid w:val="00C93B8F"/>
    <w:rsid w:val="00C94855"/>
    <w:rsid w:val="00C94935"/>
    <w:rsid w:val="00C94963"/>
    <w:rsid w:val="00C9497E"/>
    <w:rsid w:val="00C95166"/>
    <w:rsid w:val="00C95512"/>
    <w:rsid w:val="00C9590C"/>
    <w:rsid w:val="00C9598A"/>
    <w:rsid w:val="00C969E2"/>
    <w:rsid w:val="00C974B7"/>
    <w:rsid w:val="00CA013C"/>
    <w:rsid w:val="00CA0380"/>
    <w:rsid w:val="00CA1441"/>
    <w:rsid w:val="00CA15F2"/>
    <w:rsid w:val="00CA1C26"/>
    <w:rsid w:val="00CA23A6"/>
    <w:rsid w:val="00CA26B7"/>
    <w:rsid w:val="00CA3248"/>
    <w:rsid w:val="00CA49D8"/>
    <w:rsid w:val="00CA5061"/>
    <w:rsid w:val="00CA50A4"/>
    <w:rsid w:val="00CA50FC"/>
    <w:rsid w:val="00CA5186"/>
    <w:rsid w:val="00CA52C0"/>
    <w:rsid w:val="00CA59E5"/>
    <w:rsid w:val="00CA5AE0"/>
    <w:rsid w:val="00CA5C51"/>
    <w:rsid w:val="00CA6AF6"/>
    <w:rsid w:val="00CA6EC0"/>
    <w:rsid w:val="00CA7166"/>
    <w:rsid w:val="00CA7817"/>
    <w:rsid w:val="00CA7D12"/>
    <w:rsid w:val="00CB0692"/>
    <w:rsid w:val="00CB0F64"/>
    <w:rsid w:val="00CB1E37"/>
    <w:rsid w:val="00CB2B4B"/>
    <w:rsid w:val="00CB46A7"/>
    <w:rsid w:val="00CB4800"/>
    <w:rsid w:val="00CB4850"/>
    <w:rsid w:val="00CB6273"/>
    <w:rsid w:val="00CB69B2"/>
    <w:rsid w:val="00CB76E5"/>
    <w:rsid w:val="00CB7DAC"/>
    <w:rsid w:val="00CC0D13"/>
    <w:rsid w:val="00CC0FA9"/>
    <w:rsid w:val="00CC1A75"/>
    <w:rsid w:val="00CC2324"/>
    <w:rsid w:val="00CC30BB"/>
    <w:rsid w:val="00CC3338"/>
    <w:rsid w:val="00CC3367"/>
    <w:rsid w:val="00CC5801"/>
    <w:rsid w:val="00CC6031"/>
    <w:rsid w:val="00CC64AD"/>
    <w:rsid w:val="00CC6510"/>
    <w:rsid w:val="00CC6717"/>
    <w:rsid w:val="00CD08D0"/>
    <w:rsid w:val="00CD10DD"/>
    <w:rsid w:val="00CD133A"/>
    <w:rsid w:val="00CD2267"/>
    <w:rsid w:val="00CD260C"/>
    <w:rsid w:val="00CD3684"/>
    <w:rsid w:val="00CD3A81"/>
    <w:rsid w:val="00CD5351"/>
    <w:rsid w:val="00CD5569"/>
    <w:rsid w:val="00CD5F74"/>
    <w:rsid w:val="00CD611A"/>
    <w:rsid w:val="00CD65C1"/>
    <w:rsid w:val="00CD65E5"/>
    <w:rsid w:val="00CD6625"/>
    <w:rsid w:val="00CD68B0"/>
    <w:rsid w:val="00CD69CD"/>
    <w:rsid w:val="00CD7362"/>
    <w:rsid w:val="00CE0265"/>
    <w:rsid w:val="00CE0421"/>
    <w:rsid w:val="00CE04CE"/>
    <w:rsid w:val="00CE0DB9"/>
    <w:rsid w:val="00CE13DA"/>
    <w:rsid w:val="00CE1732"/>
    <w:rsid w:val="00CE1F53"/>
    <w:rsid w:val="00CE2915"/>
    <w:rsid w:val="00CE2B12"/>
    <w:rsid w:val="00CE2BB7"/>
    <w:rsid w:val="00CE436B"/>
    <w:rsid w:val="00CE451E"/>
    <w:rsid w:val="00CE4772"/>
    <w:rsid w:val="00CE53E0"/>
    <w:rsid w:val="00CE5F5D"/>
    <w:rsid w:val="00CE6116"/>
    <w:rsid w:val="00CE69B7"/>
    <w:rsid w:val="00CE6A0D"/>
    <w:rsid w:val="00CE6A3C"/>
    <w:rsid w:val="00CE7222"/>
    <w:rsid w:val="00CE7C60"/>
    <w:rsid w:val="00CE7E0C"/>
    <w:rsid w:val="00CF00A9"/>
    <w:rsid w:val="00CF0E34"/>
    <w:rsid w:val="00CF1DB6"/>
    <w:rsid w:val="00CF2538"/>
    <w:rsid w:val="00CF3F62"/>
    <w:rsid w:val="00CF3FF7"/>
    <w:rsid w:val="00CF5172"/>
    <w:rsid w:val="00CF548B"/>
    <w:rsid w:val="00CF56AC"/>
    <w:rsid w:val="00CF5B7A"/>
    <w:rsid w:val="00CF6042"/>
    <w:rsid w:val="00CF681D"/>
    <w:rsid w:val="00CF7221"/>
    <w:rsid w:val="00CF7B38"/>
    <w:rsid w:val="00CF7B8D"/>
    <w:rsid w:val="00CF7CB9"/>
    <w:rsid w:val="00D001C0"/>
    <w:rsid w:val="00D001D3"/>
    <w:rsid w:val="00D00A8F"/>
    <w:rsid w:val="00D022D8"/>
    <w:rsid w:val="00D0437E"/>
    <w:rsid w:val="00D043E4"/>
    <w:rsid w:val="00D04966"/>
    <w:rsid w:val="00D05133"/>
    <w:rsid w:val="00D07ECB"/>
    <w:rsid w:val="00D103B9"/>
    <w:rsid w:val="00D111BB"/>
    <w:rsid w:val="00D118D1"/>
    <w:rsid w:val="00D11BD5"/>
    <w:rsid w:val="00D13663"/>
    <w:rsid w:val="00D136EF"/>
    <w:rsid w:val="00D13D01"/>
    <w:rsid w:val="00D13DD8"/>
    <w:rsid w:val="00D14AD4"/>
    <w:rsid w:val="00D15082"/>
    <w:rsid w:val="00D155AD"/>
    <w:rsid w:val="00D155BD"/>
    <w:rsid w:val="00D1583A"/>
    <w:rsid w:val="00D166C4"/>
    <w:rsid w:val="00D16B2D"/>
    <w:rsid w:val="00D16CB7"/>
    <w:rsid w:val="00D16E8F"/>
    <w:rsid w:val="00D170F2"/>
    <w:rsid w:val="00D17576"/>
    <w:rsid w:val="00D179DE"/>
    <w:rsid w:val="00D20128"/>
    <w:rsid w:val="00D20ABA"/>
    <w:rsid w:val="00D20C4A"/>
    <w:rsid w:val="00D21C26"/>
    <w:rsid w:val="00D21CCA"/>
    <w:rsid w:val="00D22625"/>
    <w:rsid w:val="00D228DD"/>
    <w:rsid w:val="00D22A99"/>
    <w:rsid w:val="00D246ED"/>
    <w:rsid w:val="00D249C7"/>
    <w:rsid w:val="00D24F46"/>
    <w:rsid w:val="00D27575"/>
    <w:rsid w:val="00D275E1"/>
    <w:rsid w:val="00D27A54"/>
    <w:rsid w:val="00D27AD8"/>
    <w:rsid w:val="00D27E73"/>
    <w:rsid w:val="00D302F9"/>
    <w:rsid w:val="00D306FD"/>
    <w:rsid w:val="00D3085D"/>
    <w:rsid w:val="00D31030"/>
    <w:rsid w:val="00D31065"/>
    <w:rsid w:val="00D32B04"/>
    <w:rsid w:val="00D3390E"/>
    <w:rsid w:val="00D33C9D"/>
    <w:rsid w:val="00D33FF1"/>
    <w:rsid w:val="00D34285"/>
    <w:rsid w:val="00D3478F"/>
    <w:rsid w:val="00D348C9"/>
    <w:rsid w:val="00D34D0F"/>
    <w:rsid w:val="00D35585"/>
    <w:rsid w:val="00D3594E"/>
    <w:rsid w:val="00D35BF4"/>
    <w:rsid w:val="00D361A2"/>
    <w:rsid w:val="00D364A6"/>
    <w:rsid w:val="00D36B04"/>
    <w:rsid w:val="00D3704F"/>
    <w:rsid w:val="00D379B7"/>
    <w:rsid w:val="00D402DA"/>
    <w:rsid w:val="00D414DA"/>
    <w:rsid w:val="00D42A40"/>
    <w:rsid w:val="00D42AAB"/>
    <w:rsid w:val="00D42E19"/>
    <w:rsid w:val="00D431CF"/>
    <w:rsid w:val="00D44061"/>
    <w:rsid w:val="00D45651"/>
    <w:rsid w:val="00D465EA"/>
    <w:rsid w:val="00D50124"/>
    <w:rsid w:val="00D50302"/>
    <w:rsid w:val="00D50394"/>
    <w:rsid w:val="00D506B0"/>
    <w:rsid w:val="00D50B96"/>
    <w:rsid w:val="00D5145D"/>
    <w:rsid w:val="00D5253E"/>
    <w:rsid w:val="00D529BB"/>
    <w:rsid w:val="00D52B14"/>
    <w:rsid w:val="00D535E2"/>
    <w:rsid w:val="00D540CE"/>
    <w:rsid w:val="00D54F50"/>
    <w:rsid w:val="00D54F6A"/>
    <w:rsid w:val="00D55493"/>
    <w:rsid w:val="00D561C9"/>
    <w:rsid w:val="00D561F7"/>
    <w:rsid w:val="00D572BE"/>
    <w:rsid w:val="00D600CE"/>
    <w:rsid w:val="00D61B0F"/>
    <w:rsid w:val="00D62D20"/>
    <w:rsid w:val="00D63207"/>
    <w:rsid w:val="00D63552"/>
    <w:rsid w:val="00D63692"/>
    <w:rsid w:val="00D63A76"/>
    <w:rsid w:val="00D63D80"/>
    <w:rsid w:val="00D651EE"/>
    <w:rsid w:val="00D65721"/>
    <w:rsid w:val="00D65B19"/>
    <w:rsid w:val="00D65BDF"/>
    <w:rsid w:val="00D67312"/>
    <w:rsid w:val="00D67B4E"/>
    <w:rsid w:val="00D702F3"/>
    <w:rsid w:val="00D704E4"/>
    <w:rsid w:val="00D70C8D"/>
    <w:rsid w:val="00D70FC9"/>
    <w:rsid w:val="00D71BD5"/>
    <w:rsid w:val="00D72860"/>
    <w:rsid w:val="00D72AE4"/>
    <w:rsid w:val="00D73079"/>
    <w:rsid w:val="00D73200"/>
    <w:rsid w:val="00D73648"/>
    <w:rsid w:val="00D739CE"/>
    <w:rsid w:val="00D73CE6"/>
    <w:rsid w:val="00D743DD"/>
    <w:rsid w:val="00D7455E"/>
    <w:rsid w:val="00D74645"/>
    <w:rsid w:val="00D749DD"/>
    <w:rsid w:val="00D75AAF"/>
    <w:rsid w:val="00D75EB5"/>
    <w:rsid w:val="00D76296"/>
    <w:rsid w:val="00D768CC"/>
    <w:rsid w:val="00D76A15"/>
    <w:rsid w:val="00D76F9B"/>
    <w:rsid w:val="00D80AAE"/>
    <w:rsid w:val="00D80D18"/>
    <w:rsid w:val="00D81DB6"/>
    <w:rsid w:val="00D8280E"/>
    <w:rsid w:val="00D82CD4"/>
    <w:rsid w:val="00D830DA"/>
    <w:rsid w:val="00D83CBC"/>
    <w:rsid w:val="00D83D3B"/>
    <w:rsid w:val="00D83EF6"/>
    <w:rsid w:val="00D843D8"/>
    <w:rsid w:val="00D84436"/>
    <w:rsid w:val="00D84718"/>
    <w:rsid w:val="00D84731"/>
    <w:rsid w:val="00D84F5F"/>
    <w:rsid w:val="00D85188"/>
    <w:rsid w:val="00D856C2"/>
    <w:rsid w:val="00D8597A"/>
    <w:rsid w:val="00D86AA7"/>
    <w:rsid w:val="00D86BF6"/>
    <w:rsid w:val="00D86F82"/>
    <w:rsid w:val="00D87572"/>
    <w:rsid w:val="00D878F3"/>
    <w:rsid w:val="00D879D5"/>
    <w:rsid w:val="00D87D4E"/>
    <w:rsid w:val="00D90C38"/>
    <w:rsid w:val="00D911A0"/>
    <w:rsid w:val="00D91574"/>
    <w:rsid w:val="00D91C03"/>
    <w:rsid w:val="00D91F47"/>
    <w:rsid w:val="00D923A0"/>
    <w:rsid w:val="00D9269D"/>
    <w:rsid w:val="00D92FE5"/>
    <w:rsid w:val="00D93425"/>
    <w:rsid w:val="00D93521"/>
    <w:rsid w:val="00D93533"/>
    <w:rsid w:val="00D93D79"/>
    <w:rsid w:val="00D94506"/>
    <w:rsid w:val="00D948F0"/>
    <w:rsid w:val="00D95672"/>
    <w:rsid w:val="00D9586D"/>
    <w:rsid w:val="00D9599E"/>
    <w:rsid w:val="00D95EFF"/>
    <w:rsid w:val="00D961D8"/>
    <w:rsid w:val="00D962AB"/>
    <w:rsid w:val="00D9709F"/>
    <w:rsid w:val="00D979DD"/>
    <w:rsid w:val="00D97ADF"/>
    <w:rsid w:val="00DA094C"/>
    <w:rsid w:val="00DA0BFD"/>
    <w:rsid w:val="00DA12F7"/>
    <w:rsid w:val="00DA1BB5"/>
    <w:rsid w:val="00DA1BC0"/>
    <w:rsid w:val="00DA1CDB"/>
    <w:rsid w:val="00DA2482"/>
    <w:rsid w:val="00DA3B70"/>
    <w:rsid w:val="00DA6041"/>
    <w:rsid w:val="00DA6934"/>
    <w:rsid w:val="00DA6D9A"/>
    <w:rsid w:val="00DA6FA5"/>
    <w:rsid w:val="00DA72F0"/>
    <w:rsid w:val="00DA7D1D"/>
    <w:rsid w:val="00DA7EB4"/>
    <w:rsid w:val="00DB009F"/>
    <w:rsid w:val="00DB031E"/>
    <w:rsid w:val="00DB1A30"/>
    <w:rsid w:val="00DB248D"/>
    <w:rsid w:val="00DB305E"/>
    <w:rsid w:val="00DB3359"/>
    <w:rsid w:val="00DB3805"/>
    <w:rsid w:val="00DB39B4"/>
    <w:rsid w:val="00DB3F15"/>
    <w:rsid w:val="00DB442C"/>
    <w:rsid w:val="00DB471F"/>
    <w:rsid w:val="00DB4864"/>
    <w:rsid w:val="00DB4CD8"/>
    <w:rsid w:val="00DB564D"/>
    <w:rsid w:val="00DB63A9"/>
    <w:rsid w:val="00DB7376"/>
    <w:rsid w:val="00DC0160"/>
    <w:rsid w:val="00DC1603"/>
    <w:rsid w:val="00DC16F5"/>
    <w:rsid w:val="00DC20F3"/>
    <w:rsid w:val="00DC2136"/>
    <w:rsid w:val="00DC30C0"/>
    <w:rsid w:val="00DC57E1"/>
    <w:rsid w:val="00DC6C84"/>
    <w:rsid w:val="00DC742E"/>
    <w:rsid w:val="00DC77FA"/>
    <w:rsid w:val="00DD0193"/>
    <w:rsid w:val="00DD01C3"/>
    <w:rsid w:val="00DD03AF"/>
    <w:rsid w:val="00DD0C24"/>
    <w:rsid w:val="00DD0F84"/>
    <w:rsid w:val="00DD105C"/>
    <w:rsid w:val="00DD1814"/>
    <w:rsid w:val="00DD18AC"/>
    <w:rsid w:val="00DD1D26"/>
    <w:rsid w:val="00DD1D40"/>
    <w:rsid w:val="00DD2117"/>
    <w:rsid w:val="00DD2791"/>
    <w:rsid w:val="00DD27E9"/>
    <w:rsid w:val="00DD3234"/>
    <w:rsid w:val="00DD34E5"/>
    <w:rsid w:val="00DD3D97"/>
    <w:rsid w:val="00DD3E09"/>
    <w:rsid w:val="00DD54EC"/>
    <w:rsid w:val="00DD66BF"/>
    <w:rsid w:val="00DD6F98"/>
    <w:rsid w:val="00DD735D"/>
    <w:rsid w:val="00DD7994"/>
    <w:rsid w:val="00DE058B"/>
    <w:rsid w:val="00DE14F0"/>
    <w:rsid w:val="00DE1B2D"/>
    <w:rsid w:val="00DE1C2E"/>
    <w:rsid w:val="00DE2469"/>
    <w:rsid w:val="00DE271C"/>
    <w:rsid w:val="00DE2725"/>
    <w:rsid w:val="00DE2937"/>
    <w:rsid w:val="00DE2C7A"/>
    <w:rsid w:val="00DE33DA"/>
    <w:rsid w:val="00DE4CF6"/>
    <w:rsid w:val="00DE626A"/>
    <w:rsid w:val="00DE684E"/>
    <w:rsid w:val="00DE7196"/>
    <w:rsid w:val="00DE798F"/>
    <w:rsid w:val="00DE79D7"/>
    <w:rsid w:val="00DE7EAF"/>
    <w:rsid w:val="00DF0E7F"/>
    <w:rsid w:val="00DF0FE3"/>
    <w:rsid w:val="00DF1451"/>
    <w:rsid w:val="00DF19A6"/>
    <w:rsid w:val="00DF1A90"/>
    <w:rsid w:val="00DF25C9"/>
    <w:rsid w:val="00DF2AA6"/>
    <w:rsid w:val="00DF37C1"/>
    <w:rsid w:val="00DF3F9F"/>
    <w:rsid w:val="00DF4500"/>
    <w:rsid w:val="00DF48AD"/>
    <w:rsid w:val="00DF5022"/>
    <w:rsid w:val="00DF5B3B"/>
    <w:rsid w:val="00DF6215"/>
    <w:rsid w:val="00DF701C"/>
    <w:rsid w:val="00DF7308"/>
    <w:rsid w:val="00DF7490"/>
    <w:rsid w:val="00DF75D9"/>
    <w:rsid w:val="00DF7920"/>
    <w:rsid w:val="00DF7CFD"/>
    <w:rsid w:val="00DF7D88"/>
    <w:rsid w:val="00E001F1"/>
    <w:rsid w:val="00E009E8"/>
    <w:rsid w:val="00E011E2"/>
    <w:rsid w:val="00E014E7"/>
    <w:rsid w:val="00E02566"/>
    <w:rsid w:val="00E02A84"/>
    <w:rsid w:val="00E0530F"/>
    <w:rsid w:val="00E05DA7"/>
    <w:rsid w:val="00E06640"/>
    <w:rsid w:val="00E0676A"/>
    <w:rsid w:val="00E06D7B"/>
    <w:rsid w:val="00E0705F"/>
    <w:rsid w:val="00E0753C"/>
    <w:rsid w:val="00E07A32"/>
    <w:rsid w:val="00E07A52"/>
    <w:rsid w:val="00E07BA7"/>
    <w:rsid w:val="00E07E1D"/>
    <w:rsid w:val="00E07FB1"/>
    <w:rsid w:val="00E10519"/>
    <w:rsid w:val="00E10E51"/>
    <w:rsid w:val="00E10F41"/>
    <w:rsid w:val="00E11371"/>
    <w:rsid w:val="00E11486"/>
    <w:rsid w:val="00E116B1"/>
    <w:rsid w:val="00E11FA4"/>
    <w:rsid w:val="00E12BCD"/>
    <w:rsid w:val="00E12C45"/>
    <w:rsid w:val="00E12C67"/>
    <w:rsid w:val="00E14126"/>
    <w:rsid w:val="00E14579"/>
    <w:rsid w:val="00E1458A"/>
    <w:rsid w:val="00E146EF"/>
    <w:rsid w:val="00E14B58"/>
    <w:rsid w:val="00E14BFD"/>
    <w:rsid w:val="00E14C4B"/>
    <w:rsid w:val="00E14C6C"/>
    <w:rsid w:val="00E15FD9"/>
    <w:rsid w:val="00E16174"/>
    <w:rsid w:val="00E16B8E"/>
    <w:rsid w:val="00E20AB0"/>
    <w:rsid w:val="00E20FCF"/>
    <w:rsid w:val="00E216FB"/>
    <w:rsid w:val="00E22202"/>
    <w:rsid w:val="00E229A1"/>
    <w:rsid w:val="00E23837"/>
    <w:rsid w:val="00E23903"/>
    <w:rsid w:val="00E24655"/>
    <w:rsid w:val="00E247B3"/>
    <w:rsid w:val="00E24943"/>
    <w:rsid w:val="00E2528C"/>
    <w:rsid w:val="00E2569A"/>
    <w:rsid w:val="00E25780"/>
    <w:rsid w:val="00E2615E"/>
    <w:rsid w:val="00E26649"/>
    <w:rsid w:val="00E266FD"/>
    <w:rsid w:val="00E276E3"/>
    <w:rsid w:val="00E30F9D"/>
    <w:rsid w:val="00E319E0"/>
    <w:rsid w:val="00E31BA8"/>
    <w:rsid w:val="00E321A9"/>
    <w:rsid w:val="00E328B3"/>
    <w:rsid w:val="00E3366F"/>
    <w:rsid w:val="00E34885"/>
    <w:rsid w:val="00E35002"/>
    <w:rsid w:val="00E3507C"/>
    <w:rsid w:val="00E358DC"/>
    <w:rsid w:val="00E3638C"/>
    <w:rsid w:val="00E36A1E"/>
    <w:rsid w:val="00E36E19"/>
    <w:rsid w:val="00E36E80"/>
    <w:rsid w:val="00E36F3E"/>
    <w:rsid w:val="00E37577"/>
    <w:rsid w:val="00E37EDC"/>
    <w:rsid w:val="00E40011"/>
    <w:rsid w:val="00E40BA5"/>
    <w:rsid w:val="00E40D3D"/>
    <w:rsid w:val="00E41107"/>
    <w:rsid w:val="00E41526"/>
    <w:rsid w:val="00E424EA"/>
    <w:rsid w:val="00E42AD3"/>
    <w:rsid w:val="00E42CC3"/>
    <w:rsid w:val="00E42E62"/>
    <w:rsid w:val="00E43511"/>
    <w:rsid w:val="00E443C4"/>
    <w:rsid w:val="00E45C88"/>
    <w:rsid w:val="00E46568"/>
    <w:rsid w:val="00E46CC2"/>
    <w:rsid w:val="00E47674"/>
    <w:rsid w:val="00E47853"/>
    <w:rsid w:val="00E47D46"/>
    <w:rsid w:val="00E47E9C"/>
    <w:rsid w:val="00E5047B"/>
    <w:rsid w:val="00E51F2F"/>
    <w:rsid w:val="00E53DED"/>
    <w:rsid w:val="00E5464D"/>
    <w:rsid w:val="00E54EAB"/>
    <w:rsid w:val="00E5592C"/>
    <w:rsid w:val="00E56651"/>
    <w:rsid w:val="00E56B5E"/>
    <w:rsid w:val="00E57067"/>
    <w:rsid w:val="00E57092"/>
    <w:rsid w:val="00E57191"/>
    <w:rsid w:val="00E604E3"/>
    <w:rsid w:val="00E618DD"/>
    <w:rsid w:val="00E61F1C"/>
    <w:rsid w:val="00E61F64"/>
    <w:rsid w:val="00E620B8"/>
    <w:rsid w:val="00E62A88"/>
    <w:rsid w:val="00E62FA4"/>
    <w:rsid w:val="00E6462A"/>
    <w:rsid w:val="00E64813"/>
    <w:rsid w:val="00E6498B"/>
    <w:rsid w:val="00E65DAF"/>
    <w:rsid w:val="00E65DCE"/>
    <w:rsid w:val="00E66612"/>
    <w:rsid w:val="00E6698D"/>
    <w:rsid w:val="00E66CC6"/>
    <w:rsid w:val="00E67DBD"/>
    <w:rsid w:val="00E700EF"/>
    <w:rsid w:val="00E701E4"/>
    <w:rsid w:val="00E708EE"/>
    <w:rsid w:val="00E7096B"/>
    <w:rsid w:val="00E70DC9"/>
    <w:rsid w:val="00E710E8"/>
    <w:rsid w:val="00E71776"/>
    <w:rsid w:val="00E71783"/>
    <w:rsid w:val="00E71C71"/>
    <w:rsid w:val="00E732D8"/>
    <w:rsid w:val="00E735D3"/>
    <w:rsid w:val="00E740D0"/>
    <w:rsid w:val="00E740D9"/>
    <w:rsid w:val="00E75A3D"/>
    <w:rsid w:val="00E75F17"/>
    <w:rsid w:val="00E76D4A"/>
    <w:rsid w:val="00E7777B"/>
    <w:rsid w:val="00E77F49"/>
    <w:rsid w:val="00E802D5"/>
    <w:rsid w:val="00E8057E"/>
    <w:rsid w:val="00E810EF"/>
    <w:rsid w:val="00E8166F"/>
    <w:rsid w:val="00E818D9"/>
    <w:rsid w:val="00E81C73"/>
    <w:rsid w:val="00E81D69"/>
    <w:rsid w:val="00E82239"/>
    <w:rsid w:val="00E82BDA"/>
    <w:rsid w:val="00E83A48"/>
    <w:rsid w:val="00E843E8"/>
    <w:rsid w:val="00E843EA"/>
    <w:rsid w:val="00E85B4D"/>
    <w:rsid w:val="00E871EA"/>
    <w:rsid w:val="00E875B9"/>
    <w:rsid w:val="00E87EEC"/>
    <w:rsid w:val="00E9117A"/>
    <w:rsid w:val="00E920DA"/>
    <w:rsid w:val="00E92259"/>
    <w:rsid w:val="00E92353"/>
    <w:rsid w:val="00E9250F"/>
    <w:rsid w:val="00E943E1"/>
    <w:rsid w:val="00E955E5"/>
    <w:rsid w:val="00E95EB6"/>
    <w:rsid w:val="00E96B8F"/>
    <w:rsid w:val="00E97432"/>
    <w:rsid w:val="00E975BB"/>
    <w:rsid w:val="00E976F1"/>
    <w:rsid w:val="00E9778F"/>
    <w:rsid w:val="00E97C51"/>
    <w:rsid w:val="00E97E01"/>
    <w:rsid w:val="00EA0334"/>
    <w:rsid w:val="00EA034B"/>
    <w:rsid w:val="00EA115C"/>
    <w:rsid w:val="00EA195C"/>
    <w:rsid w:val="00EA1A0A"/>
    <w:rsid w:val="00EA1D7F"/>
    <w:rsid w:val="00EA2B9F"/>
    <w:rsid w:val="00EA334E"/>
    <w:rsid w:val="00EA4955"/>
    <w:rsid w:val="00EA49A9"/>
    <w:rsid w:val="00EA51B8"/>
    <w:rsid w:val="00EA5422"/>
    <w:rsid w:val="00EA68D5"/>
    <w:rsid w:val="00EA693B"/>
    <w:rsid w:val="00EA6BF5"/>
    <w:rsid w:val="00EA716D"/>
    <w:rsid w:val="00EA7568"/>
    <w:rsid w:val="00EB0CCA"/>
    <w:rsid w:val="00EB319D"/>
    <w:rsid w:val="00EB43C9"/>
    <w:rsid w:val="00EB47D8"/>
    <w:rsid w:val="00EB4D6A"/>
    <w:rsid w:val="00EB5AE7"/>
    <w:rsid w:val="00EB712A"/>
    <w:rsid w:val="00EB78A9"/>
    <w:rsid w:val="00EC2D38"/>
    <w:rsid w:val="00EC3031"/>
    <w:rsid w:val="00EC3060"/>
    <w:rsid w:val="00EC4CB5"/>
    <w:rsid w:val="00EC6387"/>
    <w:rsid w:val="00EC6514"/>
    <w:rsid w:val="00EC66D0"/>
    <w:rsid w:val="00EC68B5"/>
    <w:rsid w:val="00EC779C"/>
    <w:rsid w:val="00ED0B4E"/>
    <w:rsid w:val="00ED10A7"/>
    <w:rsid w:val="00ED10B8"/>
    <w:rsid w:val="00ED2B04"/>
    <w:rsid w:val="00ED3252"/>
    <w:rsid w:val="00ED3AE1"/>
    <w:rsid w:val="00ED4313"/>
    <w:rsid w:val="00ED48D0"/>
    <w:rsid w:val="00ED4DD2"/>
    <w:rsid w:val="00ED5105"/>
    <w:rsid w:val="00ED57E7"/>
    <w:rsid w:val="00ED5BF5"/>
    <w:rsid w:val="00ED6E19"/>
    <w:rsid w:val="00ED7C12"/>
    <w:rsid w:val="00EE2101"/>
    <w:rsid w:val="00EE2E6A"/>
    <w:rsid w:val="00EE301A"/>
    <w:rsid w:val="00EE3090"/>
    <w:rsid w:val="00EE3ED5"/>
    <w:rsid w:val="00EE42AA"/>
    <w:rsid w:val="00EE4A62"/>
    <w:rsid w:val="00EE5297"/>
    <w:rsid w:val="00EE6975"/>
    <w:rsid w:val="00EF0942"/>
    <w:rsid w:val="00EF0AF6"/>
    <w:rsid w:val="00EF15B0"/>
    <w:rsid w:val="00EF1850"/>
    <w:rsid w:val="00EF1FE4"/>
    <w:rsid w:val="00EF265D"/>
    <w:rsid w:val="00EF2F27"/>
    <w:rsid w:val="00EF3CCD"/>
    <w:rsid w:val="00EF46AF"/>
    <w:rsid w:val="00EF4B1C"/>
    <w:rsid w:val="00EF56C6"/>
    <w:rsid w:val="00EF5950"/>
    <w:rsid w:val="00EF5A8E"/>
    <w:rsid w:val="00EF5F24"/>
    <w:rsid w:val="00EF5FB3"/>
    <w:rsid w:val="00EF60FF"/>
    <w:rsid w:val="00EF6AC8"/>
    <w:rsid w:val="00EF7A53"/>
    <w:rsid w:val="00F0016C"/>
    <w:rsid w:val="00F006F1"/>
    <w:rsid w:val="00F00A88"/>
    <w:rsid w:val="00F0170A"/>
    <w:rsid w:val="00F017F2"/>
    <w:rsid w:val="00F01914"/>
    <w:rsid w:val="00F01C08"/>
    <w:rsid w:val="00F039C1"/>
    <w:rsid w:val="00F03BA3"/>
    <w:rsid w:val="00F04A7E"/>
    <w:rsid w:val="00F05CB3"/>
    <w:rsid w:val="00F05ECE"/>
    <w:rsid w:val="00F06288"/>
    <w:rsid w:val="00F065AF"/>
    <w:rsid w:val="00F06CD9"/>
    <w:rsid w:val="00F071F1"/>
    <w:rsid w:val="00F07674"/>
    <w:rsid w:val="00F07ECC"/>
    <w:rsid w:val="00F10CB1"/>
    <w:rsid w:val="00F10F63"/>
    <w:rsid w:val="00F116E1"/>
    <w:rsid w:val="00F12C89"/>
    <w:rsid w:val="00F13B8E"/>
    <w:rsid w:val="00F13BEB"/>
    <w:rsid w:val="00F13EBC"/>
    <w:rsid w:val="00F1463D"/>
    <w:rsid w:val="00F14A48"/>
    <w:rsid w:val="00F16329"/>
    <w:rsid w:val="00F16A45"/>
    <w:rsid w:val="00F17435"/>
    <w:rsid w:val="00F174A5"/>
    <w:rsid w:val="00F17559"/>
    <w:rsid w:val="00F177DB"/>
    <w:rsid w:val="00F178C9"/>
    <w:rsid w:val="00F204CD"/>
    <w:rsid w:val="00F211B6"/>
    <w:rsid w:val="00F21239"/>
    <w:rsid w:val="00F212F8"/>
    <w:rsid w:val="00F21D30"/>
    <w:rsid w:val="00F227C9"/>
    <w:rsid w:val="00F22984"/>
    <w:rsid w:val="00F2379C"/>
    <w:rsid w:val="00F23B91"/>
    <w:rsid w:val="00F2407C"/>
    <w:rsid w:val="00F24E6C"/>
    <w:rsid w:val="00F25511"/>
    <w:rsid w:val="00F25573"/>
    <w:rsid w:val="00F258D0"/>
    <w:rsid w:val="00F2631E"/>
    <w:rsid w:val="00F26494"/>
    <w:rsid w:val="00F266C3"/>
    <w:rsid w:val="00F26B95"/>
    <w:rsid w:val="00F27753"/>
    <w:rsid w:val="00F27EF3"/>
    <w:rsid w:val="00F303CE"/>
    <w:rsid w:val="00F307FA"/>
    <w:rsid w:val="00F30DF3"/>
    <w:rsid w:val="00F31A6E"/>
    <w:rsid w:val="00F31E06"/>
    <w:rsid w:val="00F31E13"/>
    <w:rsid w:val="00F3205C"/>
    <w:rsid w:val="00F33A29"/>
    <w:rsid w:val="00F33AD5"/>
    <w:rsid w:val="00F33D6F"/>
    <w:rsid w:val="00F35165"/>
    <w:rsid w:val="00F35D81"/>
    <w:rsid w:val="00F36649"/>
    <w:rsid w:val="00F36651"/>
    <w:rsid w:val="00F36B53"/>
    <w:rsid w:val="00F37491"/>
    <w:rsid w:val="00F3790A"/>
    <w:rsid w:val="00F40550"/>
    <w:rsid w:val="00F405F9"/>
    <w:rsid w:val="00F40A65"/>
    <w:rsid w:val="00F413C0"/>
    <w:rsid w:val="00F41641"/>
    <w:rsid w:val="00F4169A"/>
    <w:rsid w:val="00F41916"/>
    <w:rsid w:val="00F41D28"/>
    <w:rsid w:val="00F42345"/>
    <w:rsid w:val="00F43140"/>
    <w:rsid w:val="00F43C37"/>
    <w:rsid w:val="00F44445"/>
    <w:rsid w:val="00F4465F"/>
    <w:rsid w:val="00F46185"/>
    <w:rsid w:val="00F46302"/>
    <w:rsid w:val="00F468CD"/>
    <w:rsid w:val="00F4691A"/>
    <w:rsid w:val="00F472BC"/>
    <w:rsid w:val="00F501C8"/>
    <w:rsid w:val="00F50ABE"/>
    <w:rsid w:val="00F50B31"/>
    <w:rsid w:val="00F50CC8"/>
    <w:rsid w:val="00F5214B"/>
    <w:rsid w:val="00F532A8"/>
    <w:rsid w:val="00F53EF7"/>
    <w:rsid w:val="00F54955"/>
    <w:rsid w:val="00F54F37"/>
    <w:rsid w:val="00F55CA9"/>
    <w:rsid w:val="00F55F44"/>
    <w:rsid w:val="00F5652F"/>
    <w:rsid w:val="00F56962"/>
    <w:rsid w:val="00F5768F"/>
    <w:rsid w:val="00F576EE"/>
    <w:rsid w:val="00F57A40"/>
    <w:rsid w:val="00F602B2"/>
    <w:rsid w:val="00F61009"/>
    <w:rsid w:val="00F6131D"/>
    <w:rsid w:val="00F61420"/>
    <w:rsid w:val="00F61864"/>
    <w:rsid w:val="00F623C2"/>
    <w:rsid w:val="00F62A22"/>
    <w:rsid w:val="00F62F30"/>
    <w:rsid w:val="00F6315D"/>
    <w:rsid w:val="00F635D3"/>
    <w:rsid w:val="00F63C25"/>
    <w:rsid w:val="00F6404B"/>
    <w:rsid w:val="00F64096"/>
    <w:rsid w:val="00F640ED"/>
    <w:rsid w:val="00F656FB"/>
    <w:rsid w:val="00F65978"/>
    <w:rsid w:val="00F65DE8"/>
    <w:rsid w:val="00F66B58"/>
    <w:rsid w:val="00F674A6"/>
    <w:rsid w:val="00F70215"/>
    <w:rsid w:val="00F7040D"/>
    <w:rsid w:val="00F70898"/>
    <w:rsid w:val="00F70B9A"/>
    <w:rsid w:val="00F71505"/>
    <w:rsid w:val="00F719F7"/>
    <w:rsid w:val="00F7226A"/>
    <w:rsid w:val="00F7226D"/>
    <w:rsid w:val="00F723C2"/>
    <w:rsid w:val="00F7273B"/>
    <w:rsid w:val="00F72B46"/>
    <w:rsid w:val="00F73210"/>
    <w:rsid w:val="00F73387"/>
    <w:rsid w:val="00F73FA6"/>
    <w:rsid w:val="00F741A4"/>
    <w:rsid w:val="00F768E5"/>
    <w:rsid w:val="00F80786"/>
    <w:rsid w:val="00F80DF0"/>
    <w:rsid w:val="00F80FA8"/>
    <w:rsid w:val="00F81807"/>
    <w:rsid w:val="00F820FC"/>
    <w:rsid w:val="00F8248C"/>
    <w:rsid w:val="00F82719"/>
    <w:rsid w:val="00F83198"/>
    <w:rsid w:val="00F832D5"/>
    <w:rsid w:val="00F8355C"/>
    <w:rsid w:val="00F83857"/>
    <w:rsid w:val="00F84A61"/>
    <w:rsid w:val="00F851BD"/>
    <w:rsid w:val="00F85713"/>
    <w:rsid w:val="00F86831"/>
    <w:rsid w:val="00F86ACB"/>
    <w:rsid w:val="00F90695"/>
    <w:rsid w:val="00F907B9"/>
    <w:rsid w:val="00F9090D"/>
    <w:rsid w:val="00F90971"/>
    <w:rsid w:val="00F9101A"/>
    <w:rsid w:val="00F9126F"/>
    <w:rsid w:val="00F91BD0"/>
    <w:rsid w:val="00F920F6"/>
    <w:rsid w:val="00F92179"/>
    <w:rsid w:val="00F92784"/>
    <w:rsid w:val="00F94149"/>
    <w:rsid w:val="00F9463D"/>
    <w:rsid w:val="00F9491A"/>
    <w:rsid w:val="00F957FB"/>
    <w:rsid w:val="00F95945"/>
    <w:rsid w:val="00F97537"/>
    <w:rsid w:val="00F97C5C"/>
    <w:rsid w:val="00FA0DF5"/>
    <w:rsid w:val="00FA1286"/>
    <w:rsid w:val="00FA25A4"/>
    <w:rsid w:val="00FA29D3"/>
    <w:rsid w:val="00FA2B7E"/>
    <w:rsid w:val="00FA2EDF"/>
    <w:rsid w:val="00FA3C83"/>
    <w:rsid w:val="00FA3EDC"/>
    <w:rsid w:val="00FA3F22"/>
    <w:rsid w:val="00FA412E"/>
    <w:rsid w:val="00FA57C7"/>
    <w:rsid w:val="00FA5F05"/>
    <w:rsid w:val="00FA5F4B"/>
    <w:rsid w:val="00FA676E"/>
    <w:rsid w:val="00FA7010"/>
    <w:rsid w:val="00FA793A"/>
    <w:rsid w:val="00FB18DE"/>
    <w:rsid w:val="00FB2302"/>
    <w:rsid w:val="00FB2B07"/>
    <w:rsid w:val="00FB2B14"/>
    <w:rsid w:val="00FB4A0C"/>
    <w:rsid w:val="00FB5279"/>
    <w:rsid w:val="00FB534E"/>
    <w:rsid w:val="00FB5A3E"/>
    <w:rsid w:val="00FB5B8A"/>
    <w:rsid w:val="00FB5D82"/>
    <w:rsid w:val="00FB638B"/>
    <w:rsid w:val="00FB6E55"/>
    <w:rsid w:val="00FB7D71"/>
    <w:rsid w:val="00FC01D3"/>
    <w:rsid w:val="00FC0DAA"/>
    <w:rsid w:val="00FC0DEC"/>
    <w:rsid w:val="00FC0EA6"/>
    <w:rsid w:val="00FC119E"/>
    <w:rsid w:val="00FC11C7"/>
    <w:rsid w:val="00FC13C1"/>
    <w:rsid w:val="00FC21AE"/>
    <w:rsid w:val="00FC228F"/>
    <w:rsid w:val="00FC44C3"/>
    <w:rsid w:val="00FC4B47"/>
    <w:rsid w:val="00FC4D95"/>
    <w:rsid w:val="00FC54D8"/>
    <w:rsid w:val="00FC5764"/>
    <w:rsid w:val="00FC5CF2"/>
    <w:rsid w:val="00FC6052"/>
    <w:rsid w:val="00FC710B"/>
    <w:rsid w:val="00FC7675"/>
    <w:rsid w:val="00FC7B1B"/>
    <w:rsid w:val="00FD0B32"/>
    <w:rsid w:val="00FD0EA4"/>
    <w:rsid w:val="00FD0ED5"/>
    <w:rsid w:val="00FD1235"/>
    <w:rsid w:val="00FD1298"/>
    <w:rsid w:val="00FD17E4"/>
    <w:rsid w:val="00FD1C26"/>
    <w:rsid w:val="00FD1F8B"/>
    <w:rsid w:val="00FD20DC"/>
    <w:rsid w:val="00FD2119"/>
    <w:rsid w:val="00FD2641"/>
    <w:rsid w:val="00FD269D"/>
    <w:rsid w:val="00FD2807"/>
    <w:rsid w:val="00FD28C8"/>
    <w:rsid w:val="00FD2D78"/>
    <w:rsid w:val="00FD3860"/>
    <w:rsid w:val="00FD3E43"/>
    <w:rsid w:val="00FD42F8"/>
    <w:rsid w:val="00FD477F"/>
    <w:rsid w:val="00FD4BCA"/>
    <w:rsid w:val="00FD51A3"/>
    <w:rsid w:val="00FD5D2B"/>
    <w:rsid w:val="00FD6FA7"/>
    <w:rsid w:val="00FD71D2"/>
    <w:rsid w:val="00FD7461"/>
    <w:rsid w:val="00FD7C03"/>
    <w:rsid w:val="00FE0827"/>
    <w:rsid w:val="00FE1786"/>
    <w:rsid w:val="00FE1B80"/>
    <w:rsid w:val="00FE1E63"/>
    <w:rsid w:val="00FE1FD3"/>
    <w:rsid w:val="00FE20C4"/>
    <w:rsid w:val="00FE249D"/>
    <w:rsid w:val="00FE3217"/>
    <w:rsid w:val="00FE3337"/>
    <w:rsid w:val="00FE4679"/>
    <w:rsid w:val="00FE515B"/>
    <w:rsid w:val="00FE5866"/>
    <w:rsid w:val="00FE59B0"/>
    <w:rsid w:val="00FE6BA3"/>
    <w:rsid w:val="00FE6CE5"/>
    <w:rsid w:val="00FE715A"/>
    <w:rsid w:val="00FE7A90"/>
    <w:rsid w:val="00FE7E36"/>
    <w:rsid w:val="00FF16A3"/>
    <w:rsid w:val="00FF1729"/>
    <w:rsid w:val="00FF1C58"/>
    <w:rsid w:val="00FF2338"/>
    <w:rsid w:val="00FF29CF"/>
    <w:rsid w:val="00FF30FA"/>
    <w:rsid w:val="00FF394B"/>
    <w:rsid w:val="00FF50DC"/>
    <w:rsid w:val="00FF64BC"/>
    <w:rsid w:val="00FF6AB4"/>
    <w:rsid w:val="00FF6CE9"/>
    <w:rsid w:val="00FF6EA7"/>
    <w:rsid w:val="00FF7A63"/>
    <w:rsid w:val="01335090"/>
    <w:rsid w:val="01352655"/>
    <w:rsid w:val="01484529"/>
    <w:rsid w:val="015E257F"/>
    <w:rsid w:val="01636A8C"/>
    <w:rsid w:val="01781D7D"/>
    <w:rsid w:val="01784526"/>
    <w:rsid w:val="018F6F00"/>
    <w:rsid w:val="01B66048"/>
    <w:rsid w:val="01B72714"/>
    <w:rsid w:val="01EC4396"/>
    <w:rsid w:val="01EC7D58"/>
    <w:rsid w:val="01F24184"/>
    <w:rsid w:val="01FB2E9C"/>
    <w:rsid w:val="01FC5746"/>
    <w:rsid w:val="01FE36EB"/>
    <w:rsid w:val="020E2A2C"/>
    <w:rsid w:val="022373E2"/>
    <w:rsid w:val="0247558D"/>
    <w:rsid w:val="024C1F5A"/>
    <w:rsid w:val="02583B8E"/>
    <w:rsid w:val="026A5EEE"/>
    <w:rsid w:val="028555C4"/>
    <w:rsid w:val="02B74C0A"/>
    <w:rsid w:val="02D11161"/>
    <w:rsid w:val="02D914F4"/>
    <w:rsid w:val="02E170E2"/>
    <w:rsid w:val="03190824"/>
    <w:rsid w:val="03220675"/>
    <w:rsid w:val="03503B98"/>
    <w:rsid w:val="036F72C6"/>
    <w:rsid w:val="03971DC5"/>
    <w:rsid w:val="03997848"/>
    <w:rsid w:val="039C2B8A"/>
    <w:rsid w:val="03B76925"/>
    <w:rsid w:val="03E766FD"/>
    <w:rsid w:val="03EF057E"/>
    <w:rsid w:val="03FA0795"/>
    <w:rsid w:val="041175DA"/>
    <w:rsid w:val="04143873"/>
    <w:rsid w:val="04146989"/>
    <w:rsid w:val="04163CE7"/>
    <w:rsid w:val="041C5162"/>
    <w:rsid w:val="041D0DB6"/>
    <w:rsid w:val="04293830"/>
    <w:rsid w:val="0433162A"/>
    <w:rsid w:val="0437647B"/>
    <w:rsid w:val="043F389E"/>
    <w:rsid w:val="044C6760"/>
    <w:rsid w:val="046B2D6C"/>
    <w:rsid w:val="046C435E"/>
    <w:rsid w:val="04765357"/>
    <w:rsid w:val="04970F22"/>
    <w:rsid w:val="049A6D65"/>
    <w:rsid w:val="04E55632"/>
    <w:rsid w:val="04E85E0C"/>
    <w:rsid w:val="051E41AE"/>
    <w:rsid w:val="05304A17"/>
    <w:rsid w:val="05384BBE"/>
    <w:rsid w:val="055266F1"/>
    <w:rsid w:val="057F6E80"/>
    <w:rsid w:val="05A511A9"/>
    <w:rsid w:val="05B36876"/>
    <w:rsid w:val="060717A3"/>
    <w:rsid w:val="061C59A9"/>
    <w:rsid w:val="061D5037"/>
    <w:rsid w:val="066226F4"/>
    <w:rsid w:val="066416F7"/>
    <w:rsid w:val="068976F2"/>
    <w:rsid w:val="06AF09A1"/>
    <w:rsid w:val="06C5676D"/>
    <w:rsid w:val="06D350B2"/>
    <w:rsid w:val="06EC200F"/>
    <w:rsid w:val="06F36808"/>
    <w:rsid w:val="06F6318A"/>
    <w:rsid w:val="071D65CA"/>
    <w:rsid w:val="072C182D"/>
    <w:rsid w:val="073E028E"/>
    <w:rsid w:val="076F4A00"/>
    <w:rsid w:val="077715A5"/>
    <w:rsid w:val="077D7F50"/>
    <w:rsid w:val="07904781"/>
    <w:rsid w:val="0794713E"/>
    <w:rsid w:val="079677A0"/>
    <w:rsid w:val="07B11771"/>
    <w:rsid w:val="07C8646F"/>
    <w:rsid w:val="07D00E78"/>
    <w:rsid w:val="07FA39C1"/>
    <w:rsid w:val="083D4382"/>
    <w:rsid w:val="08495E00"/>
    <w:rsid w:val="08502EB6"/>
    <w:rsid w:val="086042C6"/>
    <w:rsid w:val="087E7A73"/>
    <w:rsid w:val="088464EA"/>
    <w:rsid w:val="089F5230"/>
    <w:rsid w:val="08B20F14"/>
    <w:rsid w:val="08B2698C"/>
    <w:rsid w:val="08B41D79"/>
    <w:rsid w:val="08CA4B78"/>
    <w:rsid w:val="08CD63E8"/>
    <w:rsid w:val="08DC4C3A"/>
    <w:rsid w:val="08ED191E"/>
    <w:rsid w:val="08EE3FA7"/>
    <w:rsid w:val="091C737D"/>
    <w:rsid w:val="092067B1"/>
    <w:rsid w:val="09520840"/>
    <w:rsid w:val="095E077C"/>
    <w:rsid w:val="09606819"/>
    <w:rsid w:val="096D2862"/>
    <w:rsid w:val="097958EA"/>
    <w:rsid w:val="09AC67AD"/>
    <w:rsid w:val="09B519E5"/>
    <w:rsid w:val="09F06AC8"/>
    <w:rsid w:val="0A10483E"/>
    <w:rsid w:val="0A273355"/>
    <w:rsid w:val="0A3A1AE1"/>
    <w:rsid w:val="0AB81E77"/>
    <w:rsid w:val="0AD84AE2"/>
    <w:rsid w:val="0AEB6075"/>
    <w:rsid w:val="0B5C2D85"/>
    <w:rsid w:val="0B8665F3"/>
    <w:rsid w:val="0BC37779"/>
    <w:rsid w:val="0BFA56E3"/>
    <w:rsid w:val="0C076571"/>
    <w:rsid w:val="0C1E5DD7"/>
    <w:rsid w:val="0C524DDE"/>
    <w:rsid w:val="0C6245CD"/>
    <w:rsid w:val="0C8A449D"/>
    <w:rsid w:val="0C8E46AE"/>
    <w:rsid w:val="0C8E73FE"/>
    <w:rsid w:val="0CBC7AFE"/>
    <w:rsid w:val="0CCD3318"/>
    <w:rsid w:val="0D291F2F"/>
    <w:rsid w:val="0D352C8E"/>
    <w:rsid w:val="0D40264F"/>
    <w:rsid w:val="0D437216"/>
    <w:rsid w:val="0D5F305C"/>
    <w:rsid w:val="0D7D5BA7"/>
    <w:rsid w:val="0D98651E"/>
    <w:rsid w:val="0D9E5E30"/>
    <w:rsid w:val="0DAD1828"/>
    <w:rsid w:val="0DCF3FF5"/>
    <w:rsid w:val="0DFF1296"/>
    <w:rsid w:val="0E014BC5"/>
    <w:rsid w:val="0E0D0680"/>
    <w:rsid w:val="0E2A257A"/>
    <w:rsid w:val="0E2E7804"/>
    <w:rsid w:val="0E423783"/>
    <w:rsid w:val="0E430D99"/>
    <w:rsid w:val="0E5806FC"/>
    <w:rsid w:val="0E684E9A"/>
    <w:rsid w:val="0E6E768D"/>
    <w:rsid w:val="0EAA5816"/>
    <w:rsid w:val="0EAD629E"/>
    <w:rsid w:val="0EBB73B9"/>
    <w:rsid w:val="0ECB7C03"/>
    <w:rsid w:val="0ECD7327"/>
    <w:rsid w:val="0EF22BC8"/>
    <w:rsid w:val="0EF40FF3"/>
    <w:rsid w:val="0EF64D1C"/>
    <w:rsid w:val="0EF746A9"/>
    <w:rsid w:val="0F264511"/>
    <w:rsid w:val="0F30623A"/>
    <w:rsid w:val="0F3E4387"/>
    <w:rsid w:val="0F4F71AC"/>
    <w:rsid w:val="0F78763D"/>
    <w:rsid w:val="0F863466"/>
    <w:rsid w:val="0F8D360F"/>
    <w:rsid w:val="0FC866C3"/>
    <w:rsid w:val="0FDA033C"/>
    <w:rsid w:val="0FE41BF6"/>
    <w:rsid w:val="0FEE04A6"/>
    <w:rsid w:val="0FF67CC7"/>
    <w:rsid w:val="100B34D4"/>
    <w:rsid w:val="100F6010"/>
    <w:rsid w:val="101F7DAD"/>
    <w:rsid w:val="102F5A34"/>
    <w:rsid w:val="104B0CF0"/>
    <w:rsid w:val="105459D9"/>
    <w:rsid w:val="107B0EA4"/>
    <w:rsid w:val="10A35154"/>
    <w:rsid w:val="10A938C4"/>
    <w:rsid w:val="10C433BE"/>
    <w:rsid w:val="10D344AE"/>
    <w:rsid w:val="10DE0E89"/>
    <w:rsid w:val="10E460FA"/>
    <w:rsid w:val="10FC30A2"/>
    <w:rsid w:val="113A41FD"/>
    <w:rsid w:val="113D286E"/>
    <w:rsid w:val="113E7D04"/>
    <w:rsid w:val="1140695B"/>
    <w:rsid w:val="11497B08"/>
    <w:rsid w:val="115569F7"/>
    <w:rsid w:val="115E34E4"/>
    <w:rsid w:val="116F23E3"/>
    <w:rsid w:val="1181687F"/>
    <w:rsid w:val="118C1330"/>
    <w:rsid w:val="118E79A6"/>
    <w:rsid w:val="118F0823"/>
    <w:rsid w:val="119458B2"/>
    <w:rsid w:val="119A1F4F"/>
    <w:rsid w:val="119C6B1A"/>
    <w:rsid w:val="11AA712B"/>
    <w:rsid w:val="11B622D3"/>
    <w:rsid w:val="11C969AC"/>
    <w:rsid w:val="11E6623E"/>
    <w:rsid w:val="11F92F85"/>
    <w:rsid w:val="1207772B"/>
    <w:rsid w:val="121014EE"/>
    <w:rsid w:val="12175143"/>
    <w:rsid w:val="121C1369"/>
    <w:rsid w:val="123A75DA"/>
    <w:rsid w:val="127C0742"/>
    <w:rsid w:val="128020E4"/>
    <w:rsid w:val="12925F04"/>
    <w:rsid w:val="12A80DBF"/>
    <w:rsid w:val="12C5366E"/>
    <w:rsid w:val="12CF6677"/>
    <w:rsid w:val="12D50AB0"/>
    <w:rsid w:val="130F0DCE"/>
    <w:rsid w:val="134425B5"/>
    <w:rsid w:val="134D0FC4"/>
    <w:rsid w:val="134E237C"/>
    <w:rsid w:val="13791334"/>
    <w:rsid w:val="13896239"/>
    <w:rsid w:val="138D5F5F"/>
    <w:rsid w:val="13AD31D7"/>
    <w:rsid w:val="13B160C5"/>
    <w:rsid w:val="13B772AB"/>
    <w:rsid w:val="13DA7BFD"/>
    <w:rsid w:val="13F82CDA"/>
    <w:rsid w:val="140E3053"/>
    <w:rsid w:val="142F102E"/>
    <w:rsid w:val="144C369E"/>
    <w:rsid w:val="145A2E5C"/>
    <w:rsid w:val="149741A6"/>
    <w:rsid w:val="14A42B1B"/>
    <w:rsid w:val="14D35726"/>
    <w:rsid w:val="14DB3764"/>
    <w:rsid w:val="14DF7E33"/>
    <w:rsid w:val="14F81612"/>
    <w:rsid w:val="150B1F1B"/>
    <w:rsid w:val="150B3313"/>
    <w:rsid w:val="150F013B"/>
    <w:rsid w:val="155C6EC2"/>
    <w:rsid w:val="156E66D4"/>
    <w:rsid w:val="15891B02"/>
    <w:rsid w:val="158D5AA8"/>
    <w:rsid w:val="15BE21A9"/>
    <w:rsid w:val="15C84371"/>
    <w:rsid w:val="15C8449C"/>
    <w:rsid w:val="15CD2D39"/>
    <w:rsid w:val="15E24C67"/>
    <w:rsid w:val="15F67EFA"/>
    <w:rsid w:val="15FB00BD"/>
    <w:rsid w:val="161D7DC0"/>
    <w:rsid w:val="16396F80"/>
    <w:rsid w:val="163975B3"/>
    <w:rsid w:val="164A71A8"/>
    <w:rsid w:val="165954F1"/>
    <w:rsid w:val="167F1E1F"/>
    <w:rsid w:val="17224382"/>
    <w:rsid w:val="173158FA"/>
    <w:rsid w:val="173C11EA"/>
    <w:rsid w:val="17705C25"/>
    <w:rsid w:val="177655AC"/>
    <w:rsid w:val="17792480"/>
    <w:rsid w:val="17885367"/>
    <w:rsid w:val="17913930"/>
    <w:rsid w:val="179B5360"/>
    <w:rsid w:val="17AB713C"/>
    <w:rsid w:val="17BF47C4"/>
    <w:rsid w:val="17CC4DD9"/>
    <w:rsid w:val="17CD0C74"/>
    <w:rsid w:val="18094AD6"/>
    <w:rsid w:val="1822111E"/>
    <w:rsid w:val="182B6C7C"/>
    <w:rsid w:val="1833468D"/>
    <w:rsid w:val="184C13C6"/>
    <w:rsid w:val="184D3C3B"/>
    <w:rsid w:val="184F5BB8"/>
    <w:rsid w:val="18994108"/>
    <w:rsid w:val="18AC7DA5"/>
    <w:rsid w:val="18AE69CE"/>
    <w:rsid w:val="18D1116E"/>
    <w:rsid w:val="18DD2347"/>
    <w:rsid w:val="18E90212"/>
    <w:rsid w:val="1901660C"/>
    <w:rsid w:val="192843BE"/>
    <w:rsid w:val="19460EB3"/>
    <w:rsid w:val="19555C0D"/>
    <w:rsid w:val="1961363B"/>
    <w:rsid w:val="196A65FD"/>
    <w:rsid w:val="198C2802"/>
    <w:rsid w:val="19921E80"/>
    <w:rsid w:val="19CC065B"/>
    <w:rsid w:val="19D86782"/>
    <w:rsid w:val="19F26A3D"/>
    <w:rsid w:val="19FC5333"/>
    <w:rsid w:val="1A6A7980"/>
    <w:rsid w:val="1A936074"/>
    <w:rsid w:val="1A9E416D"/>
    <w:rsid w:val="1ADA12BF"/>
    <w:rsid w:val="1B0F2BB5"/>
    <w:rsid w:val="1B19449F"/>
    <w:rsid w:val="1B196A5D"/>
    <w:rsid w:val="1B25693D"/>
    <w:rsid w:val="1B2C44A2"/>
    <w:rsid w:val="1B2E3C64"/>
    <w:rsid w:val="1B4820B2"/>
    <w:rsid w:val="1B4B5DA4"/>
    <w:rsid w:val="1B4C6032"/>
    <w:rsid w:val="1BB817AD"/>
    <w:rsid w:val="1BC276E1"/>
    <w:rsid w:val="1BED3E01"/>
    <w:rsid w:val="1BF2498C"/>
    <w:rsid w:val="1C06004E"/>
    <w:rsid w:val="1C0D2CA6"/>
    <w:rsid w:val="1C2436C3"/>
    <w:rsid w:val="1C247D63"/>
    <w:rsid w:val="1C491798"/>
    <w:rsid w:val="1C4B2A83"/>
    <w:rsid w:val="1C5F37FF"/>
    <w:rsid w:val="1C614859"/>
    <w:rsid w:val="1C7931BF"/>
    <w:rsid w:val="1C88717C"/>
    <w:rsid w:val="1CA02767"/>
    <w:rsid w:val="1CA227C5"/>
    <w:rsid w:val="1CA576F5"/>
    <w:rsid w:val="1CAB3352"/>
    <w:rsid w:val="1CD77737"/>
    <w:rsid w:val="1CEA5870"/>
    <w:rsid w:val="1D080451"/>
    <w:rsid w:val="1D1C290E"/>
    <w:rsid w:val="1D486120"/>
    <w:rsid w:val="1D705E40"/>
    <w:rsid w:val="1D76736A"/>
    <w:rsid w:val="1D7E078F"/>
    <w:rsid w:val="1D7E7F3A"/>
    <w:rsid w:val="1D80148C"/>
    <w:rsid w:val="1D9D255D"/>
    <w:rsid w:val="1DB823E3"/>
    <w:rsid w:val="1DD61DBD"/>
    <w:rsid w:val="1DEC775E"/>
    <w:rsid w:val="1E026781"/>
    <w:rsid w:val="1E352AEF"/>
    <w:rsid w:val="1E576577"/>
    <w:rsid w:val="1E6A56DD"/>
    <w:rsid w:val="1E8D0D11"/>
    <w:rsid w:val="1EB0252F"/>
    <w:rsid w:val="1EB54EB1"/>
    <w:rsid w:val="1EB8727E"/>
    <w:rsid w:val="1EC4067F"/>
    <w:rsid w:val="1ED106BA"/>
    <w:rsid w:val="1F0133F8"/>
    <w:rsid w:val="1F077A64"/>
    <w:rsid w:val="1F0C4845"/>
    <w:rsid w:val="1F1B0D63"/>
    <w:rsid w:val="1F346D10"/>
    <w:rsid w:val="1F473B2D"/>
    <w:rsid w:val="1F5D20CD"/>
    <w:rsid w:val="1F5D519C"/>
    <w:rsid w:val="1F687DD1"/>
    <w:rsid w:val="1FAD7084"/>
    <w:rsid w:val="1FC61BD2"/>
    <w:rsid w:val="1FCA7F0B"/>
    <w:rsid w:val="1FD2381D"/>
    <w:rsid w:val="1FDB57DF"/>
    <w:rsid w:val="1FDD5DA5"/>
    <w:rsid w:val="1FE60142"/>
    <w:rsid w:val="1FEC4323"/>
    <w:rsid w:val="20063A49"/>
    <w:rsid w:val="200A3852"/>
    <w:rsid w:val="200D79A6"/>
    <w:rsid w:val="203E50A2"/>
    <w:rsid w:val="20546E01"/>
    <w:rsid w:val="20671DA0"/>
    <w:rsid w:val="20695E6F"/>
    <w:rsid w:val="206B154E"/>
    <w:rsid w:val="20AE0526"/>
    <w:rsid w:val="20BE5699"/>
    <w:rsid w:val="20CF47C6"/>
    <w:rsid w:val="21296201"/>
    <w:rsid w:val="213661F9"/>
    <w:rsid w:val="2136665D"/>
    <w:rsid w:val="214C35F2"/>
    <w:rsid w:val="2154343F"/>
    <w:rsid w:val="215A50E7"/>
    <w:rsid w:val="215E51A0"/>
    <w:rsid w:val="21771032"/>
    <w:rsid w:val="21903F22"/>
    <w:rsid w:val="21AD157B"/>
    <w:rsid w:val="21B11867"/>
    <w:rsid w:val="21B5181E"/>
    <w:rsid w:val="21C5450A"/>
    <w:rsid w:val="220A1AB8"/>
    <w:rsid w:val="22181FFD"/>
    <w:rsid w:val="22273590"/>
    <w:rsid w:val="22387002"/>
    <w:rsid w:val="22456FB5"/>
    <w:rsid w:val="224A1476"/>
    <w:rsid w:val="22622979"/>
    <w:rsid w:val="22736A46"/>
    <w:rsid w:val="22805C81"/>
    <w:rsid w:val="228452CB"/>
    <w:rsid w:val="22AD373A"/>
    <w:rsid w:val="22D10653"/>
    <w:rsid w:val="22D41C8E"/>
    <w:rsid w:val="22DB3201"/>
    <w:rsid w:val="22DE7117"/>
    <w:rsid w:val="22EB39E4"/>
    <w:rsid w:val="2303520F"/>
    <w:rsid w:val="23066450"/>
    <w:rsid w:val="23110205"/>
    <w:rsid w:val="23132317"/>
    <w:rsid w:val="232E6E21"/>
    <w:rsid w:val="23405659"/>
    <w:rsid w:val="2357070D"/>
    <w:rsid w:val="236879CE"/>
    <w:rsid w:val="237B3DEA"/>
    <w:rsid w:val="23BE3D6E"/>
    <w:rsid w:val="23CE0D6F"/>
    <w:rsid w:val="23EC4ACD"/>
    <w:rsid w:val="23F47AED"/>
    <w:rsid w:val="23FF69A2"/>
    <w:rsid w:val="241C6A02"/>
    <w:rsid w:val="24380113"/>
    <w:rsid w:val="245A1FD4"/>
    <w:rsid w:val="2472344A"/>
    <w:rsid w:val="248A3AA4"/>
    <w:rsid w:val="24912A5C"/>
    <w:rsid w:val="24B973D0"/>
    <w:rsid w:val="24BF699B"/>
    <w:rsid w:val="24CA0C7D"/>
    <w:rsid w:val="25050094"/>
    <w:rsid w:val="25174DD7"/>
    <w:rsid w:val="251A44FC"/>
    <w:rsid w:val="253B30E9"/>
    <w:rsid w:val="2555357F"/>
    <w:rsid w:val="25725697"/>
    <w:rsid w:val="258306C3"/>
    <w:rsid w:val="25AC3494"/>
    <w:rsid w:val="25B92484"/>
    <w:rsid w:val="25BE5CFC"/>
    <w:rsid w:val="25E26A0A"/>
    <w:rsid w:val="26103A32"/>
    <w:rsid w:val="263B3C24"/>
    <w:rsid w:val="26416558"/>
    <w:rsid w:val="268972DF"/>
    <w:rsid w:val="26955218"/>
    <w:rsid w:val="26A36FA9"/>
    <w:rsid w:val="26A47CDF"/>
    <w:rsid w:val="26BC08DC"/>
    <w:rsid w:val="26CB7A4F"/>
    <w:rsid w:val="26CD5388"/>
    <w:rsid w:val="26CE43D1"/>
    <w:rsid w:val="26D65A21"/>
    <w:rsid w:val="26D85ED7"/>
    <w:rsid w:val="26DC62D5"/>
    <w:rsid w:val="26E059AD"/>
    <w:rsid w:val="27203F94"/>
    <w:rsid w:val="27253AB9"/>
    <w:rsid w:val="272A03C2"/>
    <w:rsid w:val="273A2D04"/>
    <w:rsid w:val="274244B4"/>
    <w:rsid w:val="27436695"/>
    <w:rsid w:val="27556029"/>
    <w:rsid w:val="279432A6"/>
    <w:rsid w:val="279F3B45"/>
    <w:rsid w:val="27B02B40"/>
    <w:rsid w:val="27B32A30"/>
    <w:rsid w:val="27BD6DDE"/>
    <w:rsid w:val="27EA5488"/>
    <w:rsid w:val="27F06639"/>
    <w:rsid w:val="27FA7021"/>
    <w:rsid w:val="28131658"/>
    <w:rsid w:val="28177B0E"/>
    <w:rsid w:val="281C4141"/>
    <w:rsid w:val="28237817"/>
    <w:rsid w:val="282D2868"/>
    <w:rsid w:val="28393472"/>
    <w:rsid w:val="284D1468"/>
    <w:rsid w:val="284F1E85"/>
    <w:rsid w:val="285F3DE4"/>
    <w:rsid w:val="28900726"/>
    <w:rsid w:val="28A24D7F"/>
    <w:rsid w:val="28B42388"/>
    <w:rsid w:val="28B66A46"/>
    <w:rsid w:val="28D20F5E"/>
    <w:rsid w:val="28DE08D1"/>
    <w:rsid w:val="28F55466"/>
    <w:rsid w:val="28FF1785"/>
    <w:rsid w:val="29313058"/>
    <w:rsid w:val="29402EB9"/>
    <w:rsid w:val="29412AF9"/>
    <w:rsid w:val="296244C0"/>
    <w:rsid w:val="29695126"/>
    <w:rsid w:val="296B2050"/>
    <w:rsid w:val="296F7389"/>
    <w:rsid w:val="29B75957"/>
    <w:rsid w:val="29C2433D"/>
    <w:rsid w:val="29C7527D"/>
    <w:rsid w:val="29D276EB"/>
    <w:rsid w:val="29FE635D"/>
    <w:rsid w:val="2A097299"/>
    <w:rsid w:val="2A2A3E59"/>
    <w:rsid w:val="2A31199A"/>
    <w:rsid w:val="2A3911D4"/>
    <w:rsid w:val="2A5A399E"/>
    <w:rsid w:val="2A666F32"/>
    <w:rsid w:val="2A745C14"/>
    <w:rsid w:val="2A8C60E8"/>
    <w:rsid w:val="2AB20F2A"/>
    <w:rsid w:val="2AB76D65"/>
    <w:rsid w:val="2AB86D5A"/>
    <w:rsid w:val="2AC2207E"/>
    <w:rsid w:val="2AC23852"/>
    <w:rsid w:val="2AC50A14"/>
    <w:rsid w:val="2ADB5732"/>
    <w:rsid w:val="2ADF2577"/>
    <w:rsid w:val="2B1331DC"/>
    <w:rsid w:val="2B3629D2"/>
    <w:rsid w:val="2B413264"/>
    <w:rsid w:val="2B41530D"/>
    <w:rsid w:val="2B652679"/>
    <w:rsid w:val="2B794470"/>
    <w:rsid w:val="2BAA1B08"/>
    <w:rsid w:val="2BB73E05"/>
    <w:rsid w:val="2BD73592"/>
    <w:rsid w:val="2BE00342"/>
    <w:rsid w:val="2BE6020D"/>
    <w:rsid w:val="2BF73F0F"/>
    <w:rsid w:val="2C051549"/>
    <w:rsid w:val="2C127FFC"/>
    <w:rsid w:val="2C1D5D5B"/>
    <w:rsid w:val="2C8108AA"/>
    <w:rsid w:val="2C8502D1"/>
    <w:rsid w:val="2CAA3D11"/>
    <w:rsid w:val="2CC24FB1"/>
    <w:rsid w:val="2CCA48AC"/>
    <w:rsid w:val="2CCC32A0"/>
    <w:rsid w:val="2CE74240"/>
    <w:rsid w:val="2CF441AC"/>
    <w:rsid w:val="2D364B1B"/>
    <w:rsid w:val="2D543D47"/>
    <w:rsid w:val="2D644FB0"/>
    <w:rsid w:val="2D773448"/>
    <w:rsid w:val="2D8B05C6"/>
    <w:rsid w:val="2D946E03"/>
    <w:rsid w:val="2DAA2DD4"/>
    <w:rsid w:val="2DBED960"/>
    <w:rsid w:val="2DD5301F"/>
    <w:rsid w:val="2DDB0AD7"/>
    <w:rsid w:val="2DE87ECA"/>
    <w:rsid w:val="2E0E0BFA"/>
    <w:rsid w:val="2E1A5DCD"/>
    <w:rsid w:val="2E2130E4"/>
    <w:rsid w:val="2E2A0104"/>
    <w:rsid w:val="2E2A64D2"/>
    <w:rsid w:val="2EA23C83"/>
    <w:rsid w:val="2ECE35F4"/>
    <w:rsid w:val="2EFF7049"/>
    <w:rsid w:val="2F034230"/>
    <w:rsid w:val="2F220B15"/>
    <w:rsid w:val="2F22353C"/>
    <w:rsid w:val="2F313D96"/>
    <w:rsid w:val="2F4E693E"/>
    <w:rsid w:val="2F6C450E"/>
    <w:rsid w:val="2F893888"/>
    <w:rsid w:val="2F8C0209"/>
    <w:rsid w:val="2F9A705B"/>
    <w:rsid w:val="2FBB5BF2"/>
    <w:rsid w:val="2FCD302D"/>
    <w:rsid w:val="2FD03481"/>
    <w:rsid w:val="2FDA3243"/>
    <w:rsid w:val="2FE16EB9"/>
    <w:rsid w:val="300F506A"/>
    <w:rsid w:val="30112632"/>
    <w:rsid w:val="302A7D0A"/>
    <w:rsid w:val="302B0C8A"/>
    <w:rsid w:val="303913F4"/>
    <w:rsid w:val="30836A12"/>
    <w:rsid w:val="3090654A"/>
    <w:rsid w:val="309E6823"/>
    <w:rsid w:val="30B12D9D"/>
    <w:rsid w:val="30B45995"/>
    <w:rsid w:val="30D94C54"/>
    <w:rsid w:val="3117280D"/>
    <w:rsid w:val="312B2B38"/>
    <w:rsid w:val="312C49E5"/>
    <w:rsid w:val="313A3DAB"/>
    <w:rsid w:val="31586781"/>
    <w:rsid w:val="315D39C5"/>
    <w:rsid w:val="31660CC9"/>
    <w:rsid w:val="31676C2E"/>
    <w:rsid w:val="31774505"/>
    <w:rsid w:val="31845650"/>
    <w:rsid w:val="31887AA2"/>
    <w:rsid w:val="31922886"/>
    <w:rsid w:val="319547E5"/>
    <w:rsid w:val="319B01CD"/>
    <w:rsid w:val="31A43DC9"/>
    <w:rsid w:val="31AA2A18"/>
    <w:rsid w:val="31CB7911"/>
    <w:rsid w:val="32261905"/>
    <w:rsid w:val="323276FA"/>
    <w:rsid w:val="325069E3"/>
    <w:rsid w:val="326D16AF"/>
    <w:rsid w:val="32737183"/>
    <w:rsid w:val="32941A30"/>
    <w:rsid w:val="329A003F"/>
    <w:rsid w:val="32CF0F98"/>
    <w:rsid w:val="32EE6B3E"/>
    <w:rsid w:val="330B0ED5"/>
    <w:rsid w:val="33215955"/>
    <w:rsid w:val="332545CE"/>
    <w:rsid w:val="334B0DF6"/>
    <w:rsid w:val="3368096C"/>
    <w:rsid w:val="33A40129"/>
    <w:rsid w:val="33AF51C0"/>
    <w:rsid w:val="33BD7C84"/>
    <w:rsid w:val="33D93AD0"/>
    <w:rsid w:val="33FA60C8"/>
    <w:rsid w:val="33FA7865"/>
    <w:rsid w:val="340C695E"/>
    <w:rsid w:val="340E16A3"/>
    <w:rsid w:val="34392C89"/>
    <w:rsid w:val="345417F3"/>
    <w:rsid w:val="346F2559"/>
    <w:rsid w:val="34722800"/>
    <w:rsid w:val="347559F2"/>
    <w:rsid w:val="34943ABF"/>
    <w:rsid w:val="34A40626"/>
    <w:rsid w:val="34B041A5"/>
    <w:rsid w:val="34B53D4A"/>
    <w:rsid w:val="34BF450B"/>
    <w:rsid w:val="34C90714"/>
    <w:rsid w:val="34ED7151"/>
    <w:rsid w:val="34EF2705"/>
    <w:rsid w:val="34FD4D2F"/>
    <w:rsid w:val="35080961"/>
    <w:rsid w:val="352B59E7"/>
    <w:rsid w:val="35397E34"/>
    <w:rsid w:val="353B6289"/>
    <w:rsid w:val="353D4469"/>
    <w:rsid w:val="3541565F"/>
    <w:rsid w:val="3559088D"/>
    <w:rsid w:val="358A515A"/>
    <w:rsid w:val="358E659F"/>
    <w:rsid w:val="35AA05C0"/>
    <w:rsid w:val="35B61997"/>
    <w:rsid w:val="35B71BEC"/>
    <w:rsid w:val="35BD1519"/>
    <w:rsid w:val="35DB1DA5"/>
    <w:rsid w:val="35FFF658"/>
    <w:rsid w:val="36052FCC"/>
    <w:rsid w:val="36112CCA"/>
    <w:rsid w:val="36223995"/>
    <w:rsid w:val="36274074"/>
    <w:rsid w:val="362E41E8"/>
    <w:rsid w:val="36367F68"/>
    <w:rsid w:val="3650185E"/>
    <w:rsid w:val="36515100"/>
    <w:rsid w:val="36720656"/>
    <w:rsid w:val="367D3A36"/>
    <w:rsid w:val="369A2ECC"/>
    <w:rsid w:val="369A5D55"/>
    <w:rsid w:val="36AF19E5"/>
    <w:rsid w:val="37071CD7"/>
    <w:rsid w:val="37144D14"/>
    <w:rsid w:val="371F4E67"/>
    <w:rsid w:val="37282791"/>
    <w:rsid w:val="373D0845"/>
    <w:rsid w:val="373D4B44"/>
    <w:rsid w:val="374450E9"/>
    <w:rsid w:val="375E7383"/>
    <w:rsid w:val="377F6953"/>
    <w:rsid w:val="3785732A"/>
    <w:rsid w:val="37876404"/>
    <w:rsid w:val="379F75AB"/>
    <w:rsid w:val="37B6299E"/>
    <w:rsid w:val="37F659FC"/>
    <w:rsid w:val="37F9184D"/>
    <w:rsid w:val="380912F4"/>
    <w:rsid w:val="383F718A"/>
    <w:rsid w:val="384B6EA5"/>
    <w:rsid w:val="385442AB"/>
    <w:rsid w:val="38696579"/>
    <w:rsid w:val="38CC2F67"/>
    <w:rsid w:val="3926036E"/>
    <w:rsid w:val="392A6A67"/>
    <w:rsid w:val="39402C8B"/>
    <w:rsid w:val="397555DB"/>
    <w:rsid w:val="397B37B9"/>
    <w:rsid w:val="399F1F4C"/>
    <w:rsid w:val="39A533C5"/>
    <w:rsid w:val="39AB143A"/>
    <w:rsid w:val="39B419D5"/>
    <w:rsid w:val="39B9069F"/>
    <w:rsid w:val="3A1C5F72"/>
    <w:rsid w:val="3A287FC4"/>
    <w:rsid w:val="3A2B0B4D"/>
    <w:rsid w:val="3A395B30"/>
    <w:rsid w:val="3A4E17E8"/>
    <w:rsid w:val="3A5A49D5"/>
    <w:rsid w:val="3A615001"/>
    <w:rsid w:val="3ABE39BE"/>
    <w:rsid w:val="3AC1118F"/>
    <w:rsid w:val="3AE4231C"/>
    <w:rsid w:val="3AED5D7C"/>
    <w:rsid w:val="3B046985"/>
    <w:rsid w:val="3B0E5C3D"/>
    <w:rsid w:val="3B153670"/>
    <w:rsid w:val="3B2E06DA"/>
    <w:rsid w:val="3B343CDC"/>
    <w:rsid w:val="3B464180"/>
    <w:rsid w:val="3B5C3722"/>
    <w:rsid w:val="3B7A07DB"/>
    <w:rsid w:val="3B7C7CC8"/>
    <w:rsid w:val="3B921160"/>
    <w:rsid w:val="3B987470"/>
    <w:rsid w:val="3BEF01D8"/>
    <w:rsid w:val="3C060C92"/>
    <w:rsid w:val="3C0A7E77"/>
    <w:rsid w:val="3C0E211F"/>
    <w:rsid w:val="3C212526"/>
    <w:rsid w:val="3C4C4FCC"/>
    <w:rsid w:val="3C943816"/>
    <w:rsid w:val="3C9D149A"/>
    <w:rsid w:val="3CB239C7"/>
    <w:rsid w:val="3CC777D6"/>
    <w:rsid w:val="3CF53D6A"/>
    <w:rsid w:val="3D2902D1"/>
    <w:rsid w:val="3D2F52DC"/>
    <w:rsid w:val="3D384947"/>
    <w:rsid w:val="3D4E2E4E"/>
    <w:rsid w:val="3D5A6730"/>
    <w:rsid w:val="3D754C94"/>
    <w:rsid w:val="3D8638E6"/>
    <w:rsid w:val="3DA6784F"/>
    <w:rsid w:val="3DC61300"/>
    <w:rsid w:val="3DD40706"/>
    <w:rsid w:val="3DD45E7D"/>
    <w:rsid w:val="3DD53467"/>
    <w:rsid w:val="3E044D67"/>
    <w:rsid w:val="3E0E13BF"/>
    <w:rsid w:val="3E4D34A9"/>
    <w:rsid w:val="3E4F40E3"/>
    <w:rsid w:val="3E73DB01"/>
    <w:rsid w:val="3E7B0777"/>
    <w:rsid w:val="3E802C8B"/>
    <w:rsid w:val="3E8702B9"/>
    <w:rsid w:val="3E882FC9"/>
    <w:rsid w:val="3E895AC2"/>
    <w:rsid w:val="3E9452B2"/>
    <w:rsid w:val="3E9C3D46"/>
    <w:rsid w:val="3EE76B69"/>
    <w:rsid w:val="3F065134"/>
    <w:rsid w:val="3F192153"/>
    <w:rsid w:val="3F2C7B95"/>
    <w:rsid w:val="3F6E2FFF"/>
    <w:rsid w:val="3F885B65"/>
    <w:rsid w:val="3F9120AB"/>
    <w:rsid w:val="3F9945EA"/>
    <w:rsid w:val="3FA018AA"/>
    <w:rsid w:val="3FBD35E1"/>
    <w:rsid w:val="3FE41CEE"/>
    <w:rsid w:val="401D3AE4"/>
    <w:rsid w:val="40450667"/>
    <w:rsid w:val="406F1751"/>
    <w:rsid w:val="407338B0"/>
    <w:rsid w:val="4079005C"/>
    <w:rsid w:val="408837F7"/>
    <w:rsid w:val="408D528A"/>
    <w:rsid w:val="40DD028A"/>
    <w:rsid w:val="410C30E8"/>
    <w:rsid w:val="411D245B"/>
    <w:rsid w:val="412420CA"/>
    <w:rsid w:val="412920E1"/>
    <w:rsid w:val="41713DE1"/>
    <w:rsid w:val="41835A11"/>
    <w:rsid w:val="418560F0"/>
    <w:rsid w:val="419301E8"/>
    <w:rsid w:val="41947D65"/>
    <w:rsid w:val="41B5162F"/>
    <w:rsid w:val="41B57716"/>
    <w:rsid w:val="41BF61EB"/>
    <w:rsid w:val="41C10267"/>
    <w:rsid w:val="41D277F5"/>
    <w:rsid w:val="41F876D2"/>
    <w:rsid w:val="42376CF8"/>
    <w:rsid w:val="42446623"/>
    <w:rsid w:val="424E7ECD"/>
    <w:rsid w:val="426840CE"/>
    <w:rsid w:val="42852DBC"/>
    <w:rsid w:val="42945F5B"/>
    <w:rsid w:val="429A20D8"/>
    <w:rsid w:val="429C6263"/>
    <w:rsid w:val="42C87AA3"/>
    <w:rsid w:val="42CD2FFD"/>
    <w:rsid w:val="42CD66AC"/>
    <w:rsid w:val="42DC4462"/>
    <w:rsid w:val="42E01B41"/>
    <w:rsid w:val="42E20C25"/>
    <w:rsid w:val="42F25312"/>
    <w:rsid w:val="430E1350"/>
    <w:rsid w:val="431971D2"/>
    <w:rsid w:val="43212E76"/>
    <w:rsid w:val="433C5EC4"/>
    <w:rsid w:val="43520002"/>
    <w:rsid w:val="43607267"/>
    <w:rsid w:val="43706C8B"/>
    <w:rsid w:val="43785275"/>
    <w:rsid w:val="4387334B"/>
    <w:rsid w:val="4397538C"/>
    <w:rsid w:val="43B51435"/>
    <w:rsid w:val="43D74EFD"/>
    <w:rsid w:val="43E60737"/>
    <w:rsid w:val="43F5789F"/>
    <w:rsid w:val="43FA7618"/>
    <w:rsid w:val="44350D69"/>
    <w:rsid w:val="44472D75"/>
    <w:rsid w:val="446F6BC4"/>
    <w:rsid w:val="44892974"/>
    <w:rsid w:val="44945652"/>
    <w:rsid w:val="4499393D"/>
    <w:rsid w:val="449D70F1"/>
    <w:rsid w:val="44A94323"/>
    <w:rsid w:val="44AC4DCA"/>
    <w:rsid w:val="44E873C5"/>
    <w:rsid w:val="44EC5137"/>
    <w:rsid w:val="450407EC"/>
    <w:rsid w:val="450729A1"/>
    <w:rsid w:val="450B482F"/>
    <w:rsid w:val="451E6702"/>
    <w:rsid w:val="45214209"/>
    <w:rsid w:val="453D5A20"/>
    <w:rsid w:val="455F343F"/>
    <w:rsid w:val="456D4EB1"/>
    <w:rsid w:val="457C03C1"/>
    <w:rsid w:val="45C647D2"/>
    <w:rsid w:val="45F353C4"/>
    <w:rsid w:val="45F97F61"/>
    <w:rsid w:val="45FF4D07"/>
    <w:rsid w:val="463F4909"/>
    <w:rsid w:val="46655913"/>
    <w:rsid w:val="466B3EB4"/>
    <w:rsid w:val="466F743A"/>
    <w:rsid w:val="469A0DEA"/>
    <w:rsid w:val="46A756A5"/>
    <w:rsid w:val="46D517B6"/>
    <w:rsid w:val="46D90338"/>
    <w:rsid w:val="46DC03A8"/>
    <w:rsid w:val="472920CF"/>
    <w:rsid w:val="473804D2"/>
    <w:rsid w:val="47444A8E"/>
    <w:rsid w:val="47537879"/>
    <w:rsid w:val="47545C81"/>
    <w:rsid w:val="47571670"/>
    <w:rsid w:val="479F5A73"/>
    <w:rsid w:val="47AE7050"/>
    <w:rsid w:val="47C64490"/>
    <w:rsid w:val="47C97EA4"/>
    <w:rsid w:val="47CA3AC2"/>
    <w:rsid w:val="47E54464"/>
    <w:rsid w:val="47EC5E04"/>
    <w:rsid w:val="47EC6FB7"/>
    <w:rsid w:val="47ED3056"/>
    <w:rsid w:val="47F37DCE"/>
    <w:rsid w:val="47F74DF2"/>
    <w:rsid w:val="47FC776D"/>
    <w:rsid w:val="480D18A4"/>
    <w:rsid w:val="488C0116"/>
    <w:rsid w:val="488D2060"/>
    <w:rsid w:val="488D2779"/>
    <w:rsid w:val="48E31E3E"/>
    <w:rsid w:val="48F062EB"/>
    <w:rsid w:val="48F1742E"/>
    <w:rsid w:val="48F1748A"/>
    <w:rsid w:val="49036686"/>
    <w:rsid w:val="492877A6"/>
    <w:rsid w:val="49365271"/>
    <w:rsid w:val="495F1EC5"/>
    <w:rsid w:val="49732AE9"/>
    <w:rsid w:val="497F6E76"/>
    <w:rsid w:val="49984176"/>
    <w:rsid w:val="49995D9C"/>
    <w:rsid w:val="499B0691"/>
    <w:rsid w:val="49E64154"/>
    <w:rsid w:val="49F74283"/>
    <w:rsid w:val="4A000C88"/>
    <w:rsid w:val="4A130D53"/>
    <w:rsid w:val="4A241104"/>
    <w:rsid w:val="4A37536B"/>
    <w:rsid w:val="4A8C6A12"/>
    <w:rsid w:val="4A997552"/>
    <w:rsid w:val="4AA46C29"/>
    <w:rsid w:val="4AA81B5A"/>
    <w:rsid w:val="4ABC0D54"/>
    <w:rsid w:val="4AC266B9"/>
    <w:rsid w:val="4AD03DC4"/>
    <w:rsid w:val="4AF564DB"/>
    <w:rsid w:val="4B0C649C"/>
    <w:rsid w:val="4B157BA8"/>
    <w:rsid w:val="4B700F93"/>
    <w:rsid w:val="4B871E3C"/>
    <w:rsid w:val="4B99141D"/>
    <w:rsid w:val="4B9C35BB"/>
    <w:rsid w:val="4BA00CFA"/>
    <w:rsid w:val="4BF6482D"/>
    <w:rsid w:val="4C3455B7"/>
    <w:rsid w:val="4C405908"/>
    <w:rsid w:val="4C535185"/>
    <w:rsid w:val="4C6A4436"/>
    <w:rsid w:val="4C742811"/>
    <w:rsid w:val="4C8A0659"/>
    <w:rsid w:val="4C950767"/>
    <w:rsid w:val="4CA2282A"/>
    <w:rsid w:val="4CA42BA1"/>
    <w:rsid w:val="4CB514B6"/>
    <w:rsid w:val="4CBD2449"/>
    <w:rsid w:val="4CBF1309"/>
    <w:rsid w:val="4CEB75E8"/>
    <w:rsid w:val="4CFE1E78"/>
    <w:rsid w:val="4D065E9B"/>
    <w:rsid w:val="4D1F37FE"/>
    <w:rsid w:val="4D476DE4"/>
    <w:rsid w:val="4D4B1C99"/>
    <w:rsid w:val="4D59221F"/>
    <w:rsid w:val="4D64661B"/>
    <w:rsid w:val="4D9A311A"/>
    <w:rsid w:val="4D9B122F"/>
    <w:rsid w:val="4DC30BC4"/>
    <w:rsid w:val="4DCE4D0E"/>
    <w:rsid w:val="4DF30C94"/>
    <w:rsid w:val="4DFB539C"/>
    <w:rsid w:val="4E123C3D"/>
    <w:rsid w:val="4E20472F"/>
    <w:rsid w:val="4E205D2A"/>
    <w:rsid w:val="4E2E73A6"/>
    <w:rsid w:val="4E4C7050"/>
    <w:rsid w:val="4E616F43"/>
    <w:rsid w:val="4E655698"/>
    <w:rsid w:val="4E69218B"/>
    <w:rsid w:val="4E6A383C"/>
    <w:rsid w:val="4E791AAA"/>
    <w:rsid w:val="4E8C213C"/>
    <w:rsid w:val="4E9C69B6"/>
    <w:rsid w:val="4EAC724B"/>
    <w:rsid w:val="4ED12556"/>
    <w:rsid w:val="4ED9140D"/>
    <w:rsid w:val="4EDC1CBF"/>
    <w:rsid w:val="4EF97C8D"/>
    <w:rsid w:val="4F202BED"/>
    <w:rsid w:val="4F3533DD"/>
    <w:rsid w:val="4F3C5065"/>
    <w:rsid w:val="4F3C6678"/>
    <w:rsid w:val="4F47487D"/>
    <w:rsid w:val="4F5751C3"/>
    <w:rsid w:val="4F77485C"/>
    <w:rsid w:val="4F836582"/>
    <w:rsid w:val="4F853D49"/>
    <w:rsid w:val="4FB57E1B"/>
    <w:rsid w:val="4FDD4C27"/>
    <w:rsid w:val="4FE369DD"/>
    <w:rsid w:val="4FFF153B"/>
    <w:rsid w:val="500353D5"/>
    <w:rsid w:val="500D70AE"/>
    <w:rsid w:val="50137287"/>
    <w:rsid w:val="502504C0"/>
    <w:rsid w:val="50521B98"/>
    <w:rsid w:val="505B0758"/>
    <w:rsid w:val="50742C3D"/>
    <w:rsid w:val="50B24457"/>
    <w:rsid w:val="50B63557"/>
    <w:rsid w:val="50C36B8A"/>
    <w:rsid w:val="51154A17"/>
    <w:rsid w:val="51CE012B"/>
    <w:rsid w:val="51D01EA8"/>
    <w:rsid w:val="51FF5F96"/>
    <w:rsid w:val="520573F1"/>
    <w:rsid w:val="522174D8"/>
    <w:rsid w:val="52284D81"/>
    <w:rsid w:val="524D293F"/>
    <w:rsid w:val="52955E44"/>
    <w:rsid w:val="529A58F2"/>
    <w:rsid w:val="529D54D2"/>
    <w:rsid w:val="52C35FBC"/>
    <w:rsid w:val="52CB5738"/>
    <w:rsid w:val="52CE61E8"/>
    <w:rsid w:val="52D02C84"/>
    <w:rsid w:val="52D15DFD"/>
    <w:rsid w:val="52E270DA"/>
    <w:rsid w:val="52FF635E"/>
    <w:rsid w:val="53133B6D"/>
    <w:rsid w:val="53164CDE"/>
    <w:rsid w:val="53273E93"/>
    <w:rsid w:val="53347059"/>
    <w:rsid w:val="534D4A8A"/>
    <w:rsid w:val="534F7550"/>
    <w:rsid w:val="53526A3D"/>
    <w:rsid w:val="535B51B6"/>
    <w:rsid w:val="537274FB"/>
    <w:rsid w:val="53AB5DEB"/>
    <w:rsid w:val="53C2097C"/>
    <w:rsid w:val="53C81855"/>
    <w:rsid w:val="53FD28AF"/>
    <w:rsid w:val="54412845"/>
    <w:rsid w:val="546C7C2A"/>
    <w:rsid w:val="54751090"/>
    <w:rsid w:val="5486601C"/>
    <w:rsid w:val="548708AD"/>
    <w:rsid w:val="54C17E78"/>
    <w:rsid w:val="54ED0772"/>
    <w:rsid w:val="55155232"/>
    <w:rsid w:val="551F755B"/>
    <w:rsid w:val="552808E5"/>
    <w:rsid w:val="55337A4B"/>
    <w:rsid w:val="5536644A"/>
    <w:rsid w:val="554779E5"/>
    <w:rsid w:val="55497B4A"/>
    <w:rsid w:val="555D0938"/>
    <w:rsid w:val="55690666"/>
    <w:rsid w:val="556D0083"/>
    <w:rsid w:val="559223A7"/>
    <w:rsid w:val="559A6D7C"/>
    <w:rsid w:val="55A63CD6"/>
    <w:rsid w:val="55BF42B7"/>
    <w:rsid w:val="55D05674"/>
    <w:rsid w:val="55D539DF"/>
    <w:rsid w:val="56383E27"/>
    <w:rsid w:val="56477724"/>
    <w:rsid w:val="56513B9B"/>
    <w:rsid w:val="56635D7C"/>
    <w:rsid w:val="5677535A"/>
    <w:rsid w:val="567E22C6"/>
    <w:rsid w:val="56806772"/>
    <w:rsid w:val="56B16309"/>
    <w:rsid w:val="56D93065"/>
    <w:rsid w:val="56F129F3"/>
    <w:rsid w:val="574D669B"/>
    <w:rsid w:val="57584A5F"/>
    <w:rsid w:val="575B7282"/>
    <w:rsid w:val="577E2010"/>
    <w:rsid w:val="579D65D9"/>
    <w:rsid w:val="57B2590E"/>
    <w:rsid w:val="57B516C5"/>
    <w:rsid w:val="57CB7F8A"/>
    <w:rsid w:val="57D322AB"/>
    <w:rsid w:val="57D970EC"/>
    <w:rsid w:val="57DD6394"/>
    <w:rsid w:val="57F3129B"/>
    <w:rsid w:val="58031E46"/>
    <w:rsid w:val="584B3DB4"/>
    <w:rsid w:val="58860061"/>
    <w:rsid w:val="58872EE8"/>
    <w:rsid w:val="588D4C4B"/>
    <w:rsid w:val="58906DB5"/>
    <w:rsid w:val="58941500"/>
    <w:rsid w:val="58B618BA"/>
    <w:rsid w:val="58D052EA"/>
    <w:rsid w:val="58D747AF"/>
    <w:rsid w:val="58F82CB2"/>
    <w:rsid w:val="58FA4EE9"/>
    <w:rsid w:val="58FC4104"/>
    <w:rsid w:val="58FE7B83"/>
    <w:rsid w:val="59345F47"/>
    <w:rsid w:val="593A7CFE"/>
    <w:rsid w:val="593C46D4"/>
    <w:rsid w:val="593E2EE1"/>
    <w:rsid w:val="593E5D10"/>
    <w:rsid w:val="596B0B42"/>
    <w:rsid w:val="596C17BC"/>
    <w:rsid w:val="59850052"/>
    <w:rsid w:val="59907C88"/>
    <w:rsid w:val="59A474AE"/>
    <w:rsid w:val="59B23FB2"/>
    <w:rsid w:val="59EE3F72"/>
    <w:rsid w:val="59EE4F81"/>
    <w:rsid w:val="5A0561F8"/>
    <w:rsid w:val="5A18530C"/>
    <w:rsid w:val="5A5E2A19"/>
    <w:rsid w:val="5A743858"/>
    <w:rsid w:val="5A784FEA"/>
    <w:rsid w:val="5A91023F"/>
    <w:rsid w:val="5A994ED2"/>
    <w:rsid w:val="5A9B7BC6"/>
    <w:rsid w:val="5AB109FC"/>
    <w:rsid w:val="5B18693D"/>
    <w:rsid w:val="5B3021EE"/>
    <w:rsid w:val="5B3D6725"/>
    <w:rsid w:val="5B3F6A4B"/>
    <w:rsid w:val="5B3F784A"/>
    <w:rsid w:val="5B707DB4"/>
    <w:rsid w:val="5B774D5B"/>
    <w:rsid w:val="5B7D0A9A"/>
    <w:rsid w:val="5B7E4E65"/>
    <w:rsid w:val="5BA71504"/>
    <w:rsid w:val="5BB26E93"/>
    <w:rsid w:val="5BBC3379"/>
    <w:rsid w:val="5BBF0106"/>
    <w:rsid w:val="5BCE1804"/>
    <w:rsid w:val="5BD063BE"/>
    <w:rsid w:val="5BDB3C96"/>
    <w:rsid w:val="5BDD0838"/>
    <w:rsid w:val="5BFD28B8"/>
    <w:rsid w:val="5C0A56D6"/>
    <w:rsid w:val="5C1B3C61"/>
    <w:rsid w:val="5C383A9F"/>
    <w:rsid w:val="5C445BB7"/>
    <w:rsid w:val="5C466CF1"/>
    <w:rsid w:val="5C4804D5"/>
    <w:rsid w:val="5C4B025A"/>
    <w:rsid w:val="5C540235"/>
    <w:rsid w:val="5C6331AD"/>
    <w:rsid w:val="5C72012E"/>
    <w:rsid w:val="5C725544"/>
    <w:rsid w:val="5C9F4D5A"/>
    <w:rsid w:val="5CA815B2"/>
    <w:rsid w:val="5CE06645"/>
    <w:rsid w:val="5CEE48BF"/>
    <w:rsid w:val="5CF859EE"/>
    <w:rsid w:val="5CFF527F"/>
    <w:rsid w:val="5D091E46"/>
    <w:rsid w:val="5D1510FB"/>
    <w:rsid w:val="5D195189"/>
    <w:rsid w:val="5D36535B"/>
    <w:rsid w:val="5D495612"/>
    <w:rsid w:val="5D4C31C4"/>
    <w:rsid w:val="5D4E4DCA"/>
    <w:rsid w:val="5D5C793D"/>
    <w:rsid w:val="5D735C7B"/>
    <w:rsid w:val="5D7D1748"/>
    <w:rsid w:val="5D7E7690"/>
    <w:rsid w:val="5D9901D2"/>
    <w:rsid w:val="5DB03F8E"/>
    <w:rsid w:val="5DE202F4"/>
    <w:rsid w:val="5DFE5A2F"/>
    <w:rsid w:val="5E0236B8"/>
    <w:rsid w:val="5E120D29"/>
    <w:rsid w:val="5E3D6D4D"/>
    <w:rsid w:val="5E466F75"/>
    <w:rsid w:val="5E6470B6"/>
    <w:rsid w:val="5E6C61D8"/>
    <w:rsid w:val="5E7928BA"/>
    <w:rsid w:val="5E7BE109"/>
    <w:rsid w:val="5E8F7329"/>
    <w:rsid w:val="5E915F87"/>
    <w:rsid w:val="5EA55297"/>
    <w:rsid w:val="5EA8325B"/>
    <w:rsid w:val="5EAA7A9D"/>
    <w:rsid w:val="5EB672A9"/>
    <w:rsid w:val="5F201620"/>
    <w:rsid w:val="5F7339BE"/>
    <w:rsid w:val="5F737CF4"/>
    <w:rsid w:val="5FEA6F8B"/>
    <w:rsid w:val="5FF534CB"/>
    <w:rsid w:val="5FF9830B"/>
    <w:rsid w:val="5FFFD0B6"/>
    <w:rsid w:val="60035758"/>
    <w:rsid w:val="60410949"/>
    <w:rsid w:val="60605977"/>
    <w:rsid w:val="60981724"/>
    <w:rsid w:val="60AA6CD2"/>
    <w:rsid w:val="60BE1140"/>
    <w:rsid w:val="60F46A94"/>
    <w:rsid w:val="60F7631E"/>
    <w:rsid w:val="61010CE6"/>
    <w:rsid w:val="6108633B"/>
    <w:rsid w:val="610C39C1"/>
    <w:rsid w:val="611A7574"/>
    <w:rsid w:val="61324703"/>
    <w:rsid w:val="614734CD"/>
    <w:rsid w:val="61A17CBB"/>
    <w:rsid w:val="61A61780"/>
    <w:rsid w:val="61A66928"/>
    <w:rsid w:val="61A81C45"/>
    <w:rsid w:val="61E65840"/>
    <w:rsid w:val="62052884"/>
    <w:rsid w:val="620EB87A"/>
    <w:rsid w:val="621C235D"/>
    <w:rsid w:val="6233296D"/>
    <w:rsid w:val="624A262C"/>
    <w:rsid w:val="6252541B"/>
    <w:rsid w:val="62743805"/>
    <w:rsid w:val="628C6BA9"/>
    <w:rsid w:val="6292603E"/>
    <w:rsid w:val="62CB0751"/>
    <w:rsid w:val="62D624EE"/>
    <w:rsid w:val="62D91CFE"/>
    <w:rsid w:val="62DE5E94"/>
    <w:rsid w:val="62EE70DF"/>
    <w:rsid w:val="62EE7BAA"/>
    <w:rsid w:val="63131D44"/>
    <w:rsid w:val="631C341C"/>
    <w:rsid w:val="632C2FAE"/>
    <w:rsid w:val="633956F9"/>
    <w:rsid w:val="633E6F4B"/>
    <w:rsid w:val="63510C2D"/>
    <w:rsid w:val="635F7B76"/>
    <w:rsid w:val="63736EDE"/>
    <w:rsid w:val="638A4BDF"/>
    <w:rsid w:val="639F7E93"/>
    <w:rsid w:val="63D30907"/>
    <w:rsid w:val="63D74E03"/>
    <w:rsid w:val="63E271A4"/>
    <w:rsid w:val="64025910"/>
    <w:rsid w:val="643435EF"/>
    <w:rsid w:val="64654944"/>
    <w:rsid w:val="6468629F"/>
    <w:rsid w:val="6469699B"/>
    <w:rsid w:val="64754F86"/>
    <w:rsid w:val="64850E94"/>
    <w:rsid w:val="648768B4"/>
    <w:rsid w:val="64887EBD"/>
    <w:rsid w:val="648A0B4B"/>
    <w:rsid w:val="649F71C2"/>
    <w:rsid w:val="64E15495"/>
    <w:rsid w:val="64E60BCA"/>
    <w:rsid w:val="64EF3E0E"/>
    <w:rsid w:val="65070DB0"/>
    <w:rsid w:val="650F7CF4"/>
    <w:rsid w:val="65140CDF"/>
    <w:rsid w:val="65194DBC"/>
    <w:rsid w:val="65507151"/>
    <w:rsid w:val="65654F70"/>
    <w:rsid w:val="6568182A"/>
    <w:rsid w:val="656A112C"/>
    <w:rsid w:val="65975E95"/>
    <w:rsid w:val="659C22CD"/>
    <w:rsid w:val="65A679B1"/>
    <w:rsid w:val="65BD0C49"/>
    <w:rsid w:val="65EB0030"/>
    <w:rsid w:val="66141C18"/>
    <w:rsid w:val="6619206E"/>
    <w:rsid w:val="661A6467"/>
    <w:rsid w:val="662F5E8D"/>
    <w:rsid w:val="66635AF6"/>
    <w:rsid w:val="667C5063"/>
    <w:rsid w:val="668E516D"/>
    <w:rsid w:val="66C4441B"/>
    <w:rsid w:val="66C5493D"/>
    <w:rsid w:val="66DB7442"/>
    <w:rsid w:val="66DC5448"/>
    <w:rsid w:val="66DD2FD5"/>
    <w:rsid w:val="66F159D3"/>
    <w:rsid w:val="66F7AC07"/>
    <w:rsid w:val="67192D0A"/>
    <w:rsid w:val="6719691B"/>
    <w:rsid w:val="671F57C5"/>
    <w:rsid w:val="67287D70"/>
    <w:rsid w:val="674178D8"/>
    <w:rsid w:val="67471700"/>
    <w:rsid w:val="674C1593"/>
    <w:rsid w:val="6755309F"/>
    <w:rsid w:val="67E401B3"/>
    <w:rsid w:val="67E40E65"/>
    <w:rsid w:val="67EB370D"/>
    <w:rsid w:val="67EFEDDD"/>
    <w:rsid w:val="68123C58"/>
    <w:rsid w:val="68321FC5"/>
    <w:rsid w:val="68425AAF"/>
    <w:rsid w:val="68514CCF"/>
    <w:rsid w:val="68650ACD"/>
    <w:rsid w:val="68907118"/>
    <w:rsid w:val="689A4A90"/>
    <w:rsid w:val="68B54E41"/>
    <w:rsid w:val="68BC7195"/>
    <w:rsid w:val="68BE2238"/>
    <w:rsid w:val="68F0206A"/>
    <w:rsid w:val="69023036"/>
    <w:rsid w:val="693042EA"/>
    <w:rsid w:val="693E66A7"/>
    <w:rsid w:val="694066F4"/>
    <w:rsid w:val="694D4EB3"/>
    <w:rsid w:val="695208D1"/>
    <w:rsid w:val="695457A7"/>
    <w:rsid w:val="69761298"/>
    <w:rsid w:val="698A44B5"/>
    <w:rsid w:val="69911DC2"/>
    <w:rsid w:val="699E4695"/>
    <w:rsid w:val="69B3441C"/>
    <w:rsid w:val="69C32B0A"/>
    <w:rsid w:val="69EC2E3B"/>
    <w:rsid w:val="69FF50D1"/>
    <w:rsid w:val="6A177425"/>
    <w:rsid w:val="6A206F7E"/>
    <w:rsid w:val="6A4F7C37"/>
    <w:rsid w:val="6A5234CB"/>
    <w:rsid w:val="6A8B281F"/>
    <w:rsid w:val="6AA25227"/>
    <w:rsid w:val="6AB43FD1"/>
    <w:rsid w:val="6AB516CE"/>
    <w:rsid w:val="6ABD216C"/>
    <w:rsid w:val="6ADE25C4"/>
    <w:rsid w:val="6AEE1C38"/>
    <w:rsid w:val="6AF56F34"/>
    <w:rsid w:val="6AFF12E5"/>
    <w:rsid w:val="6B1D2DD5"/>
    <w:rsid w:val="6B3E5DA0"/>
    <w:rsid w:val="6B4E32FC"/>
    <w:rsid w:val="6B533853"/>
    <w:rsid w:val="6B5736DA"/>
    <w:rsid w:val="6B6B7682"/>
    <w:rsid w:val="6BA64787"/>
    <w:rsid w:val="6BA94762"/>
    <w:rsid w:val="6BB906CB"/>
    <w:rsid w:val="6BC82800"/>
    <w:rsid w:val="6BCB5BB3"/>
    <w:rsid w:val="6BD12954"/>
    <w:rsid w:val="6BEA5EF9"/>
    <w:rsid w:val="6C295634"/>
    <w:rsid w:val="6C3B38B1"/>
    <w:rsid w:val="6C444547"/>
    <w:rsid w:val="6C577D9B"/>
    <w:rsid w:val="6C764352"/>
    <w:rsid w:val="6C783BDF"/>
    <w:rsid w:val="6C8D568C"/>
    <w:rsid w:val="6CB562D1"/>
    <w:rsid w:val="6CEA4987"/>
    <w:rsid w:val="6CEC600D"/>
    <w:rsid w:val="6CF85B48"/>
    <w:rsid w:val="6D3938E0"/>
    <w:rsid w:val="6D456369"/>
    <w:rsid w:val="6D551F50"/>
    <w:rsid w:val="6D6770C8"/>
    <w:rsid w:val="6D7D7754"/>
    <w:rsid w:val="6D857ECF"/>
    <w:rsid w:val="6DAA0906"/>
    <w:rsid w:val="6DB90C66"/>
    <w:rsid w:val="6DBE5569"/>
    <w:rsid w:val="6DBE699D"/>
    <w:rsid w:val="6DDF1199"/>
    <w:rsid w:val="6DE151FC"/>
    <w:rsid w:val="6DE2760A"/>
    <w:rsid w:val="6DF0435F"/>
    <w:rsid w:val="6E091230"/>
    <w:rsid w:val="6E1264AD"/>
    <w:rsid w:val="6E416057"/>
    <w:rsid w:val="6E556475"/>
    <w:rsid w:val="6EBF1AEF"/>
    <w:rsid w:val="6EC70247"/>
    <w:rsid w:val="6ECE6870"/>
    <w:rsid w:val="6EE31847"/>
    <w:rsid w:val="6EEF81ED"/>
    <w:rsid w:val="6F0425A7"/>
    <w:rsid w:val="6F0D4744"/>
    <w:rsid w:val="6F3054D0"/>
    <w:rsid w:val="6F3060B1"/>
    <w:rsid w:val="6F422368"/>
    <w:rsid w:val="6F440B7E"/>
    <w:rsid w:val="6F4F3B61"/>
    <w:rsid w:val="6F593B23"/>
    <w:rsid w:val="6F7924CC"/>
    <w:rsid w:val="6F797E04"/>
    <w:rsid w:val="6F7C509A"/>
    <w:rsid w:val="6F821872"/>
    <w:rsid w:val="6FC352BD"/>
    <w:rsid w:val="6FDF43D8"/>
    <w:rsid w:val="6FF26234"/>
    <w:rsid w:val="6FF70F62"/>
    <w:rsid w:val="6FFE08DB"/>
    <w:rsid w:val="6FFFC481"/>
    <w:rsid w:val="700E43C5"/>
    <w:rsid w:val="703D346A"/>
    <w:rsid w:val="70481529"/>
    <w:rsid w:val="704C023F"/>
    <w:rsid w:val="70551F83"/>
    <w:rsid w:val="70654890"/>
    <w:rsid w:val="70912683"/>
    <w:rsid w:val="70993573"/>
    <w:rsid w:val="709C1E69"/>
    <w:rsid w:val="709C77F8"/>
    <w:rsid w:val="70A60221"/>
    <w:rsid w:val="70AF3F1A"/>
    <w:rsid w:val="70B51114"/>
    <w:rsid w:val="70D60D54"/>
    <w:rsid w:val="7113439A"/>
    <w:rsid w:val="71326C4A"/>
    <w:rsid w:val="7144199E"/>
    <w:rsid w:val="71471455"/>
    <w:rsid w:val="714C5829"/>
    <w:rsid w:val="71514622"/>
    <w:rsid w:val="71540465"/>
    <w:rsid w:val="7163456E"/>
    <w:rsid w:val="716566E1"/>
    <w:rsid w:val="71724F60"/>
    <w:rsid w:val="71CC389D"/>
    <w:rsid w:val="71FD5A8C"/>
    <w:rsid w:val="72276544"/>
    <w:rsid w:val="722F23D0"/>
    <w:rsid w:val="72402BC0"/>
    <w:rsid w:val="724C3B0B"/>
    <w:rsid w:val="725A1B36"/>
    <w:rsid w:val="72884EDF"/>
    <w:rsid w:val="728913D5"/>
    <w:rsid w:val="728C6398"/>
    <w:rsid w:val="72B03DC2"/>
    <w:rsid w:val="72BB6454"/>
    <w:rsid w:val="72BC5274"/>
    <w:rsid w:val="72BE10A6"/>
    <w:rsid w:val="72E300AA"/>
    <w:rsid w:val="72EBB65E"/>
    <w:rsid w:val="72F04690"/>
    <w:rsid w:val="72F6313F"/>
    <w:rsid w:val="72F77679"/>
    <w:rsid w:val="730D7694"/>
    <w:rsid w:val="73410B31"/>
    <w:rsid w:val="7347631F"/>
    <w:rsid w:val="73547756"/>
    <w:rsid w:val="735E1DF9"/>
    <w:rsid w:val="7364110B"/>
    <w:rsid w:val="736A2BC7"/>
    <w:rsid w:val="737B643D"/>
    <w:rsid w:val="73883207"/>
    <w:rsid w:val="73975A7E"/>
    <w:rsid w:val="73C6180C"/>
    <w:rsid w:val="73DA06CF"/>
    <w:rsid w:val="73E926F3"/>
    <w:rsid w:val="73F178CE"/>
    <w:rsid w:val="73F95410"/>
    <w:rsid w:val="73FD7B67"/>
    <w:rsid w:val="74175E90"/>
    <w:rsid w:val="74275BF9"/>
    <w:rsid w:val="743B3C97"/>
    <w:rsid w:val="744908D8"/>
    <w:rsid w:val="748A3121"/>
    <w:rsid w:val="748B0C81"/>
    <w:rsid w:val="74C71608"/>
    <w:rsid w:val="74DD66E4"/>
    <w:rsid w:val="74DF7160"/>
    <w:rsid w:val="74F165D1"/>
    <w:rsid w:val="751F45F9"/>
    <w:rsid w:val="752827B1"/>
    <w:rsid w:val="755820E8"/>
    <w:rsid w:val="75757D4B"/>
    <w:rsid w:val="757C01C3"/>
    <w:rsid w:val="757E566A"/>
    <w:rsid w:val="758F5FC4"/>
    <w:rsid w:val="75A25D14"/>
    <w:rsid w:val="75D450DF"/>
    <w:rsid w:val="75ED21B2"/>
    <w:rsid w:val="75EF0351"/>
    <w:rsid w:val="75F96084"/>
    <w:rsid w:val="76103331"/>
    <w:rsid w:val="76130115"/>
    <w:rsid w:val="76193405"/>
    <w:rsid w:val="762A3C5E"/>
    <w:rsid w:val="766742AE"/>
    <w:rsid w:val="76747E61"/>
    <w:rsid w:val="768F18B5"/>
    <w:rsid w:val="769627B2"/>
    <w:rsid w:val="76B3502A"/>
    <w:rsid w:val="76B8316A"/>
    <w:rsid w:val="76B92B14"/>
    <w:rsid w:val="76BD53B1"/>
    <w:rsid w:val="76DE507D"/>
    <w:rsid w:val="76DFBBA0"/>
    <w:rsid w:val="770F77C7"/>
    <w:rsid w:val="77150ED0"/>
    <w:rsid w:val="775274EA"/>
    <w:rsid w:val="775459D8"/>
    <w:rsid w:val="77755857"/>
    <w:rsid w:val="77AA7E31"/>
    <w:rsid w:val="77E5611D"/>
    <w:rsid w:val="77FA006B"/>
    <w:rsid w:val="77FD2F54"/>
    <w:rsid w:val="781D5580"/>
    <w:rsid w:val="7839141C"/>
    <w:rsid w:val="784F2B74"/>
    <w:rsid w:val="78521507"/>
    <w:rsid w:val="786A4D24"/>
    <w:rsid w:val="787451CA"/>
    <w:rsid w:val="787A5AD0"/>
    <w:rsid w:val="789C3311"/>
    <w:rsid w:val="78C23E8D"/>
    <w:rsid w:val="78F43E6A"/>
    <w:rsid w:val="78FB00CD"/>
    <w:rsid w:val="791C37E4"/>
    <w:rsid w:val="793B5A33"/>
    <w:rsid w:val="794F79FC"/>
    <w:rsid w:val="79504F4D"/>
    <w:rsid w:val="796135C8"/>
    <w:rsid w:val="797D10DD"/>
    <w:rsid w:val="797D5876"/>
    <w:rsid w:val="79827B58"/>
    <w:rsid w:val="798A4004"/>
    <w:rsid w:val="799434A1"/>
    <w:rsid w:val="799B25D6"/>
    <w:rsid w:val="79A3607C"/>
    <w:rsid w:val="79A9135E"/>
    <w:rsid w:val="79B2780E"/>
    <w:rsid w:val="79BC712A"/>
    <w:rsid w:val="79C7C6F6"/>
    <w:rsid w:val="79DE75E3"/>
    <w:rsid w:val="79EA2970"/>
    <w:rsid w:val="79EF7021"/>
    <w:rsid w:val="7A144273"/>
    <w:rsid w:val="7A1969C5"/>
    <w:rsid w:val="7A4F1121"/>
    <w:rsid w:val="7A5608EE"/>
    <w:rsid w:val="7A5A05EB"/>
    <w:rsid w:val="7A635329"/>
    <w:rsid w:val="7A645A59"/>
    <w:rsid w:val="7A6E1FF2"/>
    <w:rsid w:val="7A6F21F6"/>
    <w:rsid w:val="7A6FA835"/>
    <w:rsid w:val="7A723089"/>
    <w:rsid w:val="7A7E3D10"/>
    <w:rsid w:val="7A861F1C"/>
    <w:rsid w:val="7A8D11FA"/>
    <w:rsid w:val="7A8D6B7F"/>
    <w:rsid w:val="7A946554"/>
    <w:rsid w:val="7ABC4B3D"/>
    <w:rsid w:val="7ACE0A58"/>
    <w:rsid w:val="7ADA339C"/>
    <w:rsid w:val="7AE85FF0"/>
    <w:rsid w:val="7AF52A67"/>
    <w:rsid w:val="7B0025A8"/>
    <w:rsid w:val="7B03459E"/>
    <w:rsid w:val="7B0A3E89"/>
    <w:rsid w:val="7B2D3CD4"/>
    <w:rsid w:val="7B594DB9"/>
    <w:rsid w:val="7B697BFD"/>
    <w:rsid w:val="7B8C252C"/>
    <w:rsid w:val="7BC17BF7"/>
    <w:rsid w:val="7BCF86D2"/>
    <w:rsid w:val="7BE7591D"/>
    <w:rsid w:val="7BEA7185"/>
    <w:rsid w:val="7BF1124A"/>
    <w:rsid w:val="7BF714A3"/>
    <w:rsid w:val="7BFD9DA7"/>
    <w:rsid w:val="7C4351B7"/>
    <w:rsid w:val="7C5609FB"/>
    <w:rsid w:val="7C630DF9"/>
    <w:rsid w:val="7C70055C"/>
    <w:rsid w:val="7C792ACC"/>
    <w:rsid w:val="7C956740"/>
    <w:rsid w:val="7CC51BA4"/>
    <w:rsid w:val="7CD979CE"/>
    <w:rsid w:val="7CED2C00"/>
    <w:rsid w:val="7CF51DB9"/>
    <w:rsid w:val="7D034C24"/>
    <w:rsid w:val="7D090218"/>
    <w:rsid w:val="7D1D58D0"/>
    <w:rsid w:val="7D2F358E"/>
    <w:rsid w:val="7D330CAE"/>
    <w:rsid w:val="7D693EAB"/>
    <w:rsid w:val="7D870B80"/>
    <w:rsid w:val="7DDB417B"/>
    <w:rsid w:val="7DDD0C26"/>
    <w:rsid w:val="7DFA1477"/>
    <w:rsid w:val="7E2B392D"/>
    <w:rsid w:val="7E6A670F"/>
    <w:rsid w:val="7E7775D8"/>
    <w:rsid w:val="7EEF30F4"/>
    <w:rsid w:val="7EF47BB5"/>
    <w:rsid w:val="7F0D5754"/>
    <w:rsid w:val="7F22621C"/>
    <w:rsid w:val="7F39115C"/>
    <w:rsid w:val="7F3F76DB"/>
    <w:rsid w:val="7F4A5647"/>
    <w:rsid w:val="7F533620"/>
    <w:rsid w:val="7F7007F0"/>
    <w:rsid w:val="7F9F078A"/>
    <w:rsid w:val="7FA46A7F"/>
    <w:rsid w:val="7FBD0D0A"/>
    <w:rsid w:val="7FDA50AE"/>
    <w:rsid w:val="7FE57CAD"/>
    <w:rsid w:val="7FE738D2"/>
    <w:rsid w:val="7FE92F46"/>
    <w:rsid w:val="7FEA238F"/>
    <w:rsid w:val="7FF517E6"/>
    <w:rsid w:val="7FFF6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42606A"/>
  <w15:docId w15:val="{D24BA15B-AA54-4774-AAC9-868C81C59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a6"/>
    <w:uiPriority w:val="99"/>
    <w:qFormat/>
    <w:pPr>
      <w:jc w:val="left"/>
    </w:pPr>
    <w:rPr>
      <w:lang w:val="zh-CN"/>
    </w:rPr>
  </w:style>
  <w:style w:type="paragraph" w:styleId="a7">
    <w:name w:val="Body Text"/>
    <w:basedOn w:val="a"/>
    <w:link w:val="a8"/>
    <w:qFormat/>
    <w:pPr>
      <w:autoSpaceDE w:val="0"/>
      <w:autoSpaceDN w:val="0"/>
      <w:adjustRightInd w:val="0"/>
      <w:spacing w:line="360" w:lineRule="auto"/>
      <w:jc w:val="left"/>
    </w:pPr>
    <w:rPr>
      <w:rFonts w:ascii="宋体"/>
      <w:kern w:val="0"/>
      <w:sz w:val="20"/>
      <w:lang w:val="zh-CN"/>
    </w:rPr>
  </w:style>
  <w:style w:type="paragraph" w:styleId="a9">
    <w:name w:val="Body Text Indent"/>
    <w:basedOn w:val="a"/>
    <w:link w:val="aa"/>
    <w:uiPriority w:val="99"/>
    <w:unhideWhenUsed/>
    <w:qFormat/>
    <w:pPr>
      <w:spacing w:after="120"/>
      <w:ind w:leftChars="200" w:left="420"/>
    </w:pPr>
    <w:rPr>
      <w:lang w:val="zh-CN"/>
    </w:rPr>
  </w:style>
  <w:style w:type="paragraph" w:styleId="30">
    <w:name w:val="toc 3"/>
    <w:basedOn w:val="a"/>
    <w:next w:val="a"/>
    <w:qFormat/>
    <w:pPr>
      <w:ind w:leftChars="400" w:left="840"/>
    </w:pPr>
  </w:style>
  <w:style w:type="paragraph" w:styleId="ab">
    <w:name w:val="Plain Text"/>
    <w:basedOn w:val="a"/>
    <w:qFormat/>
    <w:pPr>
      <w:adjustRightInd w:val="0"/>
      <w:spacing w:line="312" w:lineRule="atLeast"/>
      <w:textAlignment w:val="baseline"/>
    </w:pPr>
    <w:rPr>
      <w:rFonts w:ascii="宋体" w:hAnsi="Courier New"/>
      <w:kern w:val="0"/>
    </w:rPr>
  </w:style>
  <w:style w:type="paragraph" w:styleId="20">
    <w:name w:val="Body Text Indent 2"/>
    <w:basedOn w:val="a"/>
    <w:qFormat/>
    <w:pPr>
      <w:spacing w:line="360" w:lineRule="auto"/>
      <w:ind w:firstLine="425"/>
    </w:pPr>
    <w:rPr>
      <w:rFonts w:ascii="仿宋_GB2312" w:eastAsia="仿宋_GB2312"/>
      <w:sz w:val="28"/>
    </w:rPr>
  </w:style>
  <w:style w:type="paragraph" w:styleId="ac">
    <w:name w:val="Balloon Text"/>
    <w:basedOn w:val="a"/>
    <w:qFormat/>
    <w:rPr>
      <w:sz w:val="18"/>
    </w:rPr>
  </w:style>
  <w:style w:type="paragraph" w:styleId="ad">
    <w:name w:val="footer"/>
    <w:basedOn w:val="a"/>
    <w:link w:val="ae"/>
    <w:uiPriority w:val="99"/>
    <w:qFormat/>
    <w:pPr>
      <w:tabs>
        <w:tab w:val="center" w:pos="4153"/>
        <w:tab w:val="right" w:pos="8306"/>
      </w:tabs>
      <w:snapToGrid w:val="0"/>
      <w:jc w:val="left"/>
    </w:pPr>
    <w:rPr>
      <w:sz w:val="18"/>
    </w:rPr>
  </w:style>
  <w:style w:type="paragraph" w:styleId="af">
    <w:name w:val="header"/>
    <w:basedOn w:val="a"/>
    <w:link w:val="af0"/>
    <w:uiPriority w:val="99"/>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f1">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2">
    <w:name w:val="Title"/>
    <w:basedOn w:val="a"/>
    <w:next w:val="a"/>
    <w:link w:val="af3"/>
    <w:qFormat/>
    <w:pPr>
      <w:spacing w:before="240" w:after="60"/>
      <w:jc w:val="center"/>
      <w:outlineLvl w:val="0"/>
    </w:pPr>
    <w:rPr>
      <w:rFonts w:ascii="Cambria" w:hAnsi="Cambria"/>
      <w:b/>
      <w:sz w:val="32"/>
      <w:lang w:val="zh-CN"/>
    </w:rPr>
  </w:style>
  <w:style w:type="paragraph" w:styleId="af4">
    <w:name w:val="annotation subject"/>
    <w:basedOn w:val="a5"/>
    <w:next w:val="a5"/>
    <w:qFormat/>
    <w:rPr>
      <w:b/>
    </w:rPr>
  </w:style>
  <w:style w:type="character" w:styleId="af5">
    <w:name w:val="page number"/>
    <w:basedOn w:val="a0"/>
    <w:qFormat/>
  </w:style>
  <w:style w:type="character" w:styleId="af6">
    <w:name w:val="FollowedHyperlink"/>
    <w:uiPriority w:val="99"/>
    <w:unhideWhenUsed/>
    <w:qFormat/>
    <w:rPr>
      <w:color w:val="954F72"/>
      <w:u w:val="single"/>
    </w:rPr>
  </w:style>
  <w:style w:type="character" w:styleId="af7">
    <w:name w:val="Hyperlink"/>
    <w:uiPriority w:val="99"/>
    <w:qFormat/>
    <w:rPr>
      <w:color w:val="0000FF"/>
      <w:u w:val="single"/>
    </w:rPr>
  </w:style>
  <w:style w:type="character" w:styleId="af8">
    <w:name w:val="annotation reference"/>
    <w:uiPriority w:val="99"/>
    <w:qFormat/>
    <w:rPr>
      <w:sz w:val="21"/>
    </w:rPr>
  </w:style>
  <w:style w:type="character" w:styleId="af9">
    <w:name w:val="footnote reference"/>
    <w:qFormat/>
    <w:rPr>
      <w:vertAlign w:val="superscript"/>
    </w:rPr>
  </w:style>
  <w:style w:type="character" w:customStyle="1" w:styleId="unnamed11">
    <w:name w:val="unnamed11"/>
    <w:qFormat/>
    <w:rPr>
      <w:rFonts w:ascii="宋体" w:eastAsia="宋体" w:hAnsi="宋体" w:hint="eastAsia"/>
      <w:sz w:val="18"/>
    </w:rPr>
  </w:style>
  <w:style w:type="character" w:customStyle="1" w:styleId="read">
    <w:name w:val="read"/>
    <w:basedOn w:val="a0"/>
    <w:qFormat/>
  </w:style>
  <w:style w:type="character" w:customStyle="1" w:styleId="fontstyle01">
    <w:name w:val="fontstyle01"/>
    <w:qFormat/>
    <w:rPr>
      <w:rFonts w:ascii="宋体" w:eastAsia="宋体" w:hAnsi="宋体" w:hint="eastAsia"/>
      <w:color w:val="000000"/>
      <w:sz w:val="22"/>
      <w:szCs w:val="22"/>
    </w:rPr>
  </w:style>
  <w:style w:type="character" w:customStyle="1" w:styleId="a8">
    <w:name w:val="正文文本 字符"/>
    <w:link w:val="a7"/>
    <w:qFormat/>
    <w:rPr>
      <w:rFonts w:ascii="宋体"/>
      <w:kern w:val="0"/>
    </w:rPr>
  </w:style>
  <w:style w:type="character" w:customStyle="1" w:styleId="af0">
    <w:name w:val="页眉 字符"/>
    <w:link w:val="af"/>
    <w:uiPriority w:val="99"/>
    <w:qFormat/>
    <w:rPr>
      <w:rFonts w:eastAsia="宋体"/>
      <w:kern w:val="2"/>
      <w:sz w:val="18"/>
      <w:lang w:val="en-US" w:eastAsia="zh-CN"/>
    </w:rPr>
  </w:style>
  <w:style w:type="character" w:customStyle="1" w:styleId="aa">
    <w:name w:val="正文文本缩进 字符"/>
    <w:link w:val="a9"/>
    <w:uiPriority w:val="99"/>
    <w:qFormat/>
    <w:rPr>
      <w:kern w:val="2"/>
      <w:sz w:val="21"/>
    </w:rPr>
  </w:style>
  <w:style w:type="character" w:customStyle="1" w:styleId="a6">
    <w:name w:val="批注文字 字符"/>
    <w:link w:val="a5"/>
    <w:qFormat/>
    <w:rPr>
      <w:kern w:val="2"/>
      <w:sz w:val="21"/>
    </w:rPr>
  </w:style>
  <w:style w:type="character" w:customStyle="1" w:styleId="af3">
    <w:name w:val="标题 字符"/>
    <w:link w:val="af2"/>
    <w:qFormat/>
    <w:rPr>
      <w:rFonts w:ascii="Cambria" w:hAnsi="Cambria"/>
      <w:b/>
      <w:kern w:val="2"/>
      <w:sz w:val="32"/>
    </w:rPr>
  </w:style>
  <w:style w:type="character" w:customStyle="1" w:styleId="ae">
    <w:name w:val="页脚 字符"/>
    <w:link w:val="ad"/>
    <w:uiPriority w:val="99"/>
    <w:qFormat/>
    <w:rPr>
      <w:kern w:val="2"/>
      <w:sz w:val="18"/>
    </w:rPr>
  </w:style>
  <w:style w:type="paragraph" w:customStyle="1" w:styleId="InfoBlue">
    <w:name w:val="InfoBlue"/>
    <w:basedOn w:val="a"/>
    <w:next w:val="a7"/>
    <w:qFormat/>
    <w:pPr>
      <w:tabs>
        <w:tab w:val="left" w:pos="420"/>
      </w:tabs>
      <w:spacing w:after="120" w:line="240" w:lineRule="atLeast"/>
      <w:ind w:left="420" w:hanging="420"/>
      <w:jc w:val="left"/>
    </w:pPr>
    <w:rPr>
      <w:rFonts w:ascii="宋体" w:hAnsi="宋体"/>
    </w:rPr>
  </w:style>
  <w:style w:type="paragraph" w:customStyle="1" w:styleId="11">
    <w:name w:val="修订11"/>
    <w:uiPriority w:val="99"/>
    <w:semiHidden/>
    <w:qFormat/>
    <w:rPr>
      <w:kern w:val="2"/>
      <w:sz w:val="21"/>
    </w:rPr>
  </w:style>
  <w:style w:type="paragraph" w:customStyle="1" w:styleId="21">
    <w:name w:val="修订2"/>
    <w:uiPriority w:val="99"/>
    <w:unhideWhenUsed/>
    <w:qFormat/>
    <w:rPr>
      <w:kern w:val="2"/>
      <w:sz w:val="21"/>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HD">
    <w:name w:val="HD正文"/>
    <w:qFormat/>
    <w:pPr>
      <w:widowControl w:val="0"/>
      <w:snapToGrid w:val="0"/>
      <w:spacing w:line="360" w:lineRule="auto"/>
      <w:ind w:firstLineChars="200" w:firstLine="420"/>
      <w:jc w:val="both"/>
    </w:pPr>
    <w:rPr>
      <w:kern w:val="2"/>
      <w:sz w:val="21"/>
      <w:szCs w:val="21"/>
    </w:rPr>
  </w:style>
  <w:style w:type="paragraph" w:customStyle="1" w:styleId="CharChar">
    <w:name w:val="Char Char"/>
    <w:basedOn w:val="a"/>
    <w:qFormat/>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32">
    <w:name w:val="修订3"/>
    <w:uiPriority w:val="99"/>
    <w:unhideWhenUsed/>
    <w:qFormat/>
    <w:rPr>
      <w:kern w:val="2"/>
      <w:sz w:val="21"/>
    </w:rPr>
  </w:style>
  <w:style w:type="paragraph" w:customStyle="1" w:styleId="CharCharCharChar">
    <w:name w:val="Char Char Char Char"/>
    <w:basedOn w:val="a"/>
    <w:qFormat/>
    <w:pPr>
      <w:tabs>
        <w:tab w:val="left" w:pos="360"/>
      </w:tabs>
    </w:pPr>
  </w:style>
  <w:style w:type="paragraph" w:customStyle="1" w:styleId="CharChar1">
    <w:name w:val="Char Char1"/>
    <w:basedOn w:val="a"/>
    <w:qFormat/>
  </w:style>
  <w:style w:type="paragraph" w:customStyle="1" w:styleId="Char">
    <w:name w:val="Char"/>
    <w:basedOn w:val="a"/>
    <w:qFormat/>
  </w:style>
  <w:style w:type="paragraph" w:customStyle="1" w:styleId="Char1">
    <w:name w:val="Char1"/>
    <w:basedOn w:val="a"/>
    <w:qFormat/>
  </w:style>
  <w:style w:type="paragraph" w:customStyle="1" w:styleId="msonormal1">
    <w:name w:val="msonormal1"/>
    <w:qFormat/>
    <w:pPr>
      <w:widowControl w:val="0"/>
      <w:jc w:val="both"/>
    </w:pPr>
    <w:rPr>
      <w:kern w:val="2"/>
      <w:sz w:val="21"/>
    </w:rPr>
  </w:style>
  <w:style w:type="paragraph" w:customStyle="1" w:styleId="Listbullet">
    <w:name w:val="List_bullet"/>
    <w:basedOn w:val="a"/>
    <w:qFormat/>
    <w:pPr>
      <w:widowControl/>
      <w:numPr>
        <w:numId w:val="1"/>
      </w:numPr>
      <w:jc w:val="left"/>
    </w:pPr>
    <w:rPr>
      <w:kern w:val="0"/>
      <w:sz w:val="24"/>
    </w:rPr>
  </w:style>
  <w:style w:type="paragraph" w:customStyle="1" w:styleId="12">
    <w:name w:val="修订1"/>
    <w:uiPriority w:val="99"/>
    <w:semiHidden/>
    <w:qFormat/>
    <w:rPr>
      <w:kern w:val="2"/>
      <w:sz w:val="21"/>
    </w:rPr>
  </w:style>
  <w:style w:type="paragraph" w:customStyle="1" w:styleId="afa">
    <w:name w:val="正文正文"/>
    <w:basedOn w:val="a"/>
    <w:qFormat/>
    <w:pPr>
      <w:spacing w:afterLines="25" w:line="360" w:lineRule="auto"/>
      <w:ind w:firstLineChars="200" w:firstLine="200"/>
    </w:pPr>
    <w:rPr>
      <w:sz w:val="24"/>
    </w:rPr>
  </w:style>
  <w:style w:type="paragraph" w:customStyle="1" w:styleId="afb">
    <w:name w:val="正文所"/>
    <w:basedOn w:val="a"/>
    <w:qFormat/>
    <w:pPr>
      <w:spacing w:line="360" w:lineRule="auto"/>
      <w:ind w:firstLineChars="200" w:firstLine="420"/>
    </w:pPr>
    <w:rPr>
      <w:rFonts w:ascii="宋体"/>
    </w:rPr>
  </w:style>
  <w:style w:type="paragraph" w:customStyle="1" w:styleId="Web">
    <w:name w:val="普通 (Web)"/>
    <w:basedOn w:val="a"/>
    <w:qFormat/>
    <w:pPr>
      <w:widowControl/>
      <w:spacing w:before="100" w:beforeAutospacing="1" w:after="100" w:afterAutospacing="1"/>
      <w:jc w:val="left"/>
    </w:pPr>
    <w:rPr>
      <w:rFonts w:ascii="宋体" w:hAnsi="宋体"/>
      <w:kern w:val="0"/>
      <w:sz w:val="24"/>
      <w:szCs w:val="24"/>
    </w:rPr>
  </w:style>
  <w:style w:type="paragraph" w:customStyle="1" w:styleId="CharCharChar">
    <w:name w:val="Char Char Char"/>
    <w:basedOn w:val="a"/>
    <w:qFormat/>
  </w:style>
  <w:style w:type="paragraph" w:customStyle="1" w:styleId="4">
    <w:name w:val="修订4"/>
    <w:hidden/>
    <w:uiPriority w:val="99"/>
    <w:unhideWhenUsed/>
    <w:qFormat/>
    <w:rPr>
      <w:kern w:val="2"/>
      <w:sz w:val="21"/>
    </w:rPr>
  </w:style>
  <w:style w:type="character" w:customStyle="1" w:styleId="Char0">
    <w:name w:val="批注文字 Char"/>
    <w:uiPriority w:val="99"/>
    <w:qFormat/>
    <w:rPr>
      <w:kern w:val="2"/>
      <w:sz w:val="21"/>
    </w:rPr>
  </w:style>
  <w:style w:type="paragraph" w:customStyle="1" w:styleId="5">
    <w:name w:val="修订5"/>
    <w:hidden/>
    <w:uiPriority w:val="99"/>
    <w:unhideWhenUsed/>
    <w:qFormat/>
    <w:rPr>
      <w:kern w:val="2"/>
      <w:sz w:val="21"/>
    </w:rPr>
  </w:style>
  <w:style w:type="paragraph" w:customStyle="1" w:styleId="6">
    <w:name w:val="修订6"/>
    <w:hidden/>
    <w:uiPriority w:val="99"/>
    <w:unhideWhenUsed/>
    <w:qFormat/>
    <w:rPr>
      <w:kern w:val="2"/>
      <w:sz w:val="21"/>
    </w:rPr>
  </w:style>
  <w:style w:type="paragraph" w:customStyle="1" w:styleId="7">
    <w:name w:val="修订7"/>
    <w:hidden/>
    <w:uiPriority w:val="99"/>
    <w:unhideWhenUsed/>
    <w:qFormat/>
    <w:rPr>
      <w:kern w:val="2"/>
      <w:sz w:val="21"/>
    </w:rPr>
  </w:style>
  <w:style w:type="paragraph" w:styleId="afc">
    <w:name w:val="Revision"/>
    <w:hidden/>
    <w:uiPriority w:val="99"/>
    <w:semiHidden/>
    <w:rsid w:val="0000370A"/>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696EB89C-1479-4B47-B26B-F4F55C5A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120</Pages>
  <Words>12760</Words>
  <Characters>72737</Characters>
  <Application>Microsoft Office Word</Application>
  <DocSecurity>0</DocSecurity>
  <Lines>606</Lines>
  <Paragraphs>170</Paragraphs>
  <ScaleCrop>false</ScaleCrop>
  <Company>YHFUND</Company>
  <LinksUpToDate>false</LinksUpToDate>
  <CharactersWithSpaces>85327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qiul</dc:creator>
  <cp:lastModifiedBy>郑翔</cp:lastModifiedBy>
  <cp:revision>9</cp:revision>
  <cp:lastPrinted>2026-02-04T07:49:00Z</cp:lastPrinted>
  <dcterms:created xsi:type="dcterms:W3CDTF">2026-02-01T09:49:00Z</dcterms:created>
  <dcterms:modified xsi:type="dcterms:W3CDTF">2026-02-05T02:41:00Z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2052-12.8.2.15290</vt:lpwstr>
  </property>
  <property fmtid="{D5CDD505-2E9C-101B-9397-08002B2CF9AE}" pid="3" name="ICV">
    <vt:lpwstr>B4F3E41B167F4F18311F0A6989F38102_43</vt:lpwstr>
  </property>
</Properties>
</file>